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8AD3" w14:textId="77777777" w:rsidR="00B01131" w:rsidRDefault="00B01131" w:rsidP="003471A8">
      <w:pPr>
        <w:jc w:val="both"/>
      </w:pPr>
    </w:p>
    <w:p w14:paraId="1B457FF3" w14:textId="4CB03F87" w:rsidR="00A921F2" w:rsidRDefault="000365D9" w:rsidP="00910445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01131">
        <w:rPr>
          <w:sz w:val="20"/>
          <w:szCs w:val="20"/>
        </w:rPr>
        <w:tab/>
      </w:r>
      <w:r w:rsidR="00E5516F" w:rsidRPr="00B01131">
        <w:rPr>
          <w:rFonts w:ascii="Tahoma" w:hAnsi="Tahoma" w:cs="Tahoma"/>
          <w:sz w:val="20"/>
          <w:szCs w:val="20"/>
        </w:rPr>
        <w:t xml:space="preserve">Trata-se de impugnação apresentada por </w:t>
      </w:r>
      <w:r w:rsidR="00764975">
        <w:rPr>
          <w:rFonts w:ascii="Tahoma" w:hAnsi="Tahoma" w:cs="Tahoma"/>
          <w:b/>
          <w:sz w:val="20"/>
          <w:szCs w:val="20"/>
        </w:rPr>
        <w:t>VÓLUS INSTITUIÇÃO DE PAGAMENTO LTDA</w:t>
      </w:r>
      <w:r w:rsidR="002D20DC" w:rsidRPr="00B01131">
        <w:rPr>
          <w:rFonts w:ascii="Tahoma" w:hAnsi="Tahoma" w:cs="Tahoma"/>
          <w:b/>
          <w:sz w:val="20"/>
          <w:szCs w:val="20"/>
        </w:rPr>
        <w:t xml:space="preserve"> </w:t>
      </w:r>
      <w:r w:rsidR="00E5516F" w:rsidRPr="00B01131">
        <w:rPr>
          <w:rFonts w:ascii="Tahoma" w:hAnsi="Tahoma" w:cs="Tahoma"/>
          <w:sz w:val="20"/>
          <w:szCs w:val="20"/>
        </w:rPr>
        <w:t xml:space="preserve">aos termos do </w:t>
      </w:r>
      <w:r w:rsidR="00B01131" w:rsidRPr="00B01131">
        <w:rPr>
          <w:rFonts w:ascii="Tahoma" w:hAnsi="Tahoma" w:cs="Tahoma"/>
          <w:sz w:val="20"/>
          <w:szCs w:val="20"/>
        </w:rPr>
        <w:t>E</w:t>
      </w:r>
      <w:r w:rsidR="00E5516F" w:rsidRPr="00B01131">
        <w:rPr>
          <w:rFonts w:ascii="Tahoma" w:hAnsi="Tahoma" w:cs="Tahoma"/>
          <w:sz w:val="20"/>
          <w:szCs w:val="20"/>
        </w:rPr>
        <w:t xml:space="preserve">dital </w:t>
      </w:r>
      <w:r w:rsidR="001E21F4" w:rsidRPr="00B01131">
        <w:rPr>
          <w:rFonts w:ascii="Tahoma" w:hAnsi="Tahoma" w:cs="Tahoma"/>
          <w:sz w:val="20"/>
          <w:szCs w:val="20"/>
        </w:rPr>
        <w:t xml:space="preserve">de </w:t>
      </w:r>
      <w:r w:rsidR="00B01131" w:rsidRPr="00B01131">
        <w:rPr>
          <w:rFonts w:ascii="Tahoma" w:hAnsi="Tahoma" w:cs="Tahoma"/>
          <w:sz w:val="20"/>
          <w:szCs w:val="20"/>
        </w:rPr>
        <w:t>L</w:t>
      </w:r>
      <w:r w:rsidR="001E21F4" w:rsidRPr="00B01131">
        <w:rPr>
          <w:rFonts w:ascii="Tahoma" w:hAnsi="Tahoma" w:cs="Tahoma"/>
          <w:sz w:val="20"/>
          <w:szCs w:val="20"/>
        </w:rPr>
        <w:t xml:space="preserve">icitação nº </w:t>
      </w:r>
      <w:r w:rsidR="00764975">
        <w:rPr>
          <w:rFonts w:ascii="Tahoma" w:hAnsi="Tahoma" w:cs="Tahoma"/>
          <w:sz w:val="20"/>
          <w:szCs w:val="20"/>
        </w:rPr>
        <w:t>04/2026</w:t>
      </w:r>
      <w:r w:rsidR="002D20DC" w:rsidRPr="00B01131">
        <w:rPr>
          <w:rFonts w:ascii="Tahoma" w:hAnsi="Tahoma" w:cs="Tahoma"/>
          <w:sz w:val="20"/>
          <w:szCs w:val="20"/>
        </w:rPr>
        <w:t xml:space="preserve">, </w:t>
      </w:r>
      <w:r w:rsidR="00B01131" w:rsidRPr="00B01131">
        <w:rPr>
          <w:rFonts w:ascii="Tahoma" w:hAnsi="Tahoma" w:cs="Tahoma"/>
          <w:sz w:val="20"/>
          <w:szCs w:val="20"/>
        </w:rPr>
        <w:t>que instaurou o P</w:t>
      </w:r>
      <w:r w:rsidR="00E5516F" w:rsidRPr="00B01131">
        <w:rPr>
          <w:rFonts w:ascii="Tahoma" w:hAnsi="Tahoma" w:cs="Tahoma"/>
          <w:sz w:val="20"/>
          <w:szCs w:val="20"/>
        </w:rPr>
        <w:t xml:space="preserve">rocedimento </w:t>
      </w:r>
      <w:r w:rsidR="00B01131" w:rsidRPr="00B01131">
        <w:rPr>
          <w:rFonts w:ascii="Tahoma" w:hAnsi="Tahoma" w:cs="Tahoma"/>
          <w:sz w:val="20"/>
          <w:szCs w:val="20"/>
        </w:rPr>
        <w:t>L</w:t>
      </w:r>
      <w:r w:rsidR="00E5516F" w:rsidRPr="00B01131">
        <w:rPr>
          <w:rFonts w:ascii="Tahoma" w:hAnsi="Tahoma" w:cs="Tahoma"/>
          <w:sz w:val="20"/>
          <w:szCs w:val="20"/>
        </w:rPr>
        <w:t>icitatório nº</w:t>
      </w:r>
      <w:r w:rsidR="002D20DC" w:rsidRPr="00B01131">
        <w:rPr>
          <w:rFonts w:ascii="Tahoma" w:hAnsi="Tahoma" w:cs="Tahoma"/>
          <w:sz w:val="20"/>
          <w:szCs w:val="20"/>
        </w:rPr>
        <w:t xml:space="preserve"> </w:t>
      </w:r>
      <w:r w:rsidR="00764975">
        <w:rPr>
          <w:rFonts w:ascii="Tahoma" w:hAnsi="Tahoma" w:cs="Tahoma"/>
          <w:sz w:val="20"/>
          <w:szCs w:val="20"/>
        </w:rPr>
        <w:t>04/2026</w:t>
      </w:r>
      <w:r w:rsidR="00E5516F" w:rsidRPr="00B01131">
        <w:rPr>
          <w:rFonts w:ascii="Tahoma" w:hAnsi="Tahoma" w:cs="Tahoma"/>
          <w:sz w:val="20"/>
          <w:szCs w:val="20"/>
        </w:rPr>
        <w:t xml:space="preserve">, </w:t>
      </w:r>
      <w:r w:rsidR="00B01131" w:rsidRPr="00B01131">
        <w:rPr>
          <w:rFonts w:ascii="Tahoma" w:hAnsi="Tahoma" w:cs="Tahoma"/>
          <w:sz w:val="20"/>
          <w:szCs w:val="20"/>
        </w:rPr>
        <w:t>P</w:t>
      </w:r>
      <w:r w:rsidR="001E21F4" w:rsidRPr="00B01131">
        <w:rPr>
          <w:rFonts w:ascii="Tahoma" w:hAnsi="Tahoma" w:cs="Tahoma"/>
          <w:sz w:val="20"/>
          <w:szCs w:val="20"/>
        </w:rPr>
        <w:t xml:space="preserve">regão </w:t>
      </w:r>
      <w:r w:rsidR="00910445">
        <w:rPr>
          <w:rFonts w:ascii="Tahoma" w:hAnsi="Tahoma" w:cs="Tahoma"/>
          <w:sz w:val="20"/>
          <w:szCs w:val="20"/>
        </w:rPr>
        <w:t>Eletrônico</w:t>
      </w:r>
      <w:r w:rsidR="001E21F4" w:rsidRPr="00B01131">
        <w:rPr>
          <w:rFonts w:ascii="Tahoma" w:hAnsi="Tahoma" w:cs="Tahoma"/>
          <w:sz w:val="20"/>
          <w:szCs w:val="20"/>
        </w:rPr>
        <w:t xml:space="preserve"> </w:t>
      </w:r>
      <w:r w:rsidR="00E5516F" w:rsidRPr="00B01131">
        <w:rPr>
          <w:rFonts w:ascii="Tahoma" w:hAnsi="Tahoma" w:cs="Tahoma"/>
          <w:sz w:val="20"/>
          <w:szCs w:val="20"/>
        </w:rPr>
        <w:t>nº</w:t>
      </w:r>
      <w:r w:rsidR="002D20DC" w:rsidRPr="00B01131">
        <w:rPr>
          <w:rFonts w:ascii="Tahoma" w:hAnsi="Tahoma" w:cs="Tahoma"/>
          <w:sz w:val="20"/>
          <w:szCs w:val="20"/>
        </w:rPr>
        <w:t xml:space="preserve"> </w:t>
      </w:r>
      <w:r w:rsidR="00764975">
        <w:rPr>
          <w:rFonts w:ascii="Tahoma" w:hAnsi="Tahoma" w:cs="Tahoma"/>
          <w:sz w:val="20"/>
          <w:szCs w:val="20"/>
        </w:rPr>
        <w:t>03/2026</w:t>
      </w:r>
      <w:r w:rsidR="00E5516F" w:rsidRPr="00B01131">
        <w:rPr>
          <w:rFonts w:ascii="Tahoma" w:hAnsi="Tahoma" w:cs="Tahoma"/>
          <w:sz w:val="20"/>
          <w:szCs w:val="20"/>
        </w:rPr>
        <w:t xml:space="preserve">, </w:t>
      </w:r>
      <w:r w:rsidR="00E67172" w:rsidRPr="00B01131">
        <w:rPr>
          <w:rFonts w:ascii="Tahoma" w:hAnsi="Tahoma" w:cs="Tahoma"/>
          <w:sz w:val="20"/>
          <w:szCs w:val="20"/>
        </w:rPr>
        <w:t xml:space="preserve">que possui por objeto a seleção da proposta mais vantajosa </w:t>
      </w:r>
      <w:r w:rsidR="002D20DC" w:rsidRPr="00B01131">
        <w:rPr>
          <w:rFonts w:ascii="Tahoma" w:hAnsi="Tahoma" w:cs="Tahoma"/>
          <w:sz w:val="20"/>
          <w:szCs w:val="20"/>
        </w:rPr>
        <w:t xml:space="preserve">para, nos termos do item </w:t>
      </w:r>
      <w:r w:rsidR="00910445">
        <w:rPr>
          <w:rFonts w:ascii="Tahoma" w:hAnsi="Tahoma" w:cs="Tahoma"/>
          <w:sz w:val="20"/>
          <w:szCs w:val="20"/>
        </w:rPr>
        <w:t>1</w:t>
      </w:r>
      <w:r w:rsidR="002D20DC" w:rsidRPr="00B01131">
        <w:rPr>
          <w:rFonts w:ascii="Tahoma" w:hAnsi="Tahoma" w:cs="Tahoma"/>
          <w:sz w:val="20"/>
          <w:szCs w:val="20"/>
        </w:rPr>
        <w:t xml:space="preserve"> da norma editalícia impugnada: </w:t>
      </w:r>
    </w:p>
    <w:p w14:paraId="20A14F6E" w14:textId="77777777" w:rsidR="00910445" w:rsidRPr="00B01131" w:rsidRDefault="00910445" w:rsidP="00910445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E2BF2AD" w14:textId="1C0AAC99" w:rsidR="00910445" w:rsidRDefault="002D20DC" w:rsidP="00910445">
      <w:pPr>
        <w:pStyle w:val="Ttulo7"/>
        <w:keepNext/>
        <w:spacing w:before="0" w:after="0" w:line="360" w:lineRule="auto"/>
        <w:jc w:val="both"/>
        <w:rPr>
          <w:rFonts w:cs="Tahoma"/>
          <w:sz w:val="19"/>
          <w:szCs w:val="19"/>
          <w:lang w:val="pt-BR"/>
        </w:rPr>
      </w:pPr>
      <w:r w:rsidRPr="00910445">
        <w:rPr>
          <w:rFonts w:cs="Tahoma"/>
          <w:sz w:val="20"/>
          <w:szCs w:val="20"/>
        </w:rPr>
        <w:t>“</w:t>
      </w:r>
      <w:r w:rsidR="00910445" w:rsidRPr="00910445">
        <w:rPr>
          <w:rFonts w:cs="Tahoma"/>
          <w:sz w:val="19"/>
          <w:szCs w:val="19"/>
          <w:lang w:val="pt-BR"/>
        </w:rPr>
        <w:t xml:space="preserve"> </w:t>
      </w:r>
      <w:r w:rsidR="00764975" w:rsidRPr="004B0014">
        <w:rPr>
          <w:rFonts w:cs="Tahoma"/>
          <w:b/>
          <w:bCs/>
          <w:sz w:val="19"/>
          <w:szCs w:val="19"/>
        </w:rPr>
        <w:t xml:space="preserve">PRESTAÇÃO DE SERVIÇOS DE FORNECIMENTO E GERENCIAMENTO DE VALE-ALIMENTAÇÃO E RESPECTIVAS RECARGAS DE CRÉDITOS MENSAIS, ATRAVÉS DE CARTÃO ELETRÔNICO COM CHIP DE SEGURANÇA E SENHA INDIVIDUAL E/OU APROXIMAÇÃO, PARA O BENEFÍCIO “AUXÍLIO ALIMENTAÇÃO” DOS SERVIDORES DO MUNICÍPIO DE </w:t>
      </w:r>
      <w:r w:rsidR="00764975">
        <w:rPr>
          <w:rFonts w:cs="Tahoma"/>
          <w:b/>
          <w:bCs/>
          <w:sz w:val="19"/>
          <w:szCs w:val="19"/>
        </w:rPr>
        <w:t>NOVA BASSANO/RS</w:t>
      </w:r>
      <w:r w:rsidR="00A921F2" w:rsidRPr="00910445">
        <w:rPr>
          <w:rFonts w:cs="Tahoma"/>
          <w:sz w:val="19"/>
          <w:szCs w:val="19"/>
          <w:lang w:val="pt-BR"/>
        </w:rPr>
        <w:t>”.</w:t>
      </w:r>
    </w:p>
    <w:p w14:paraId="183238E0" w14:textId="77777777" w:rsidR="00E33C2E" w:rsidRPr="00E33C2E" w:rsidRDefault="00E33C2E" w:rsidP="00E33C2E">
      <w:pPr>
        <w:rPr>
          <w:lang w:eastAsia="x-none"/>
        </w:rPr>
      </w:pPr>
    </w:p>
    <w:p w14:paraId="52B623AA" w14:textId="1A8BCEC4" w:rsidR="00F65024" w:rsidRDefault="00A22DDE" w:rsidP="00910445">
      <w:pPr>
        <w:tabs>
          <w:tab w:val="left" w:pos="567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t-BR"/>
        </w:rPr>
      </w:pP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         </w:t>
      </w:r>
      <w:r w:rsidR="00F65024" w:rsidRPr="00F65024">
        <w:rPr>
          <w:rFonts w:ascii="Tahoma" w:eastAsia="Times New Roman" w:hAnsi="Tahoma" w:cs="Tahoma"/>
          <w:sz w:val="20"/>
          <w:szCs w:val="20"/>
          <w:lang w:eastAsia="pt-BR"/>
        </w:rPr>
        <w:t>Segundo consta na peça impugnativa</w:t>
      </w:r>
      <w:r w:rsidR="001576C6">
        <w:rPr>
          <w:rFonts w:ascii="Tahoma" w:eastAsia="Times New Roman" w:hAnsi="Tahoma" w:cs="Tahoma"/>
          <w:sz w:val="20"/>
          <w:szCs w:val="20"/>
          <w:lang w:eastAsia="pt-BR"/>
        </w:rPr>
        <w:t>, a razão principal d</w:t>
      </w:r>
      <w:r w:rsidR="00E577F8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1576C6">
        <w:rPr>
          <w:rFonts w:ascii="Tahoma" w:eastAsia="Times New Roman" w:hAnsi="Tahoma" w:cs="Tahoma"/>
          <w:sz w:val="20"/>
          <w:szCs w:val="20"/>
          <w:lang w:eastAsia="pt-BR"/>
        </w:rPr>
        <w:t xml:space="preserve"> irresignação </w:t>
      </w:r>
      <w:r w:rsidR="00F65024" w:rsidRPr="00F65024">
        <w:rPr>
          <w:rFonts w:ascii="Tahoma" w:eastAsia="Times New Roman" w:hAnsi="Tahoma" w:cs="Tahoma"/>
          <w:sz w:val="20"/>
          <w:szCs w:val="20"/>
          <w:lang w:eastAsia="pt-BR"/>
        </w:rPr>
        <w:t>da</w:t>
      </w:r>
      <w:r w:rsidR="00E33C2E">
        <w:rPr>
          <w:rFonts w:ascii="Tahoma" w:eastAsia="Times New Roman" w:hAnsi="Tahoma" w:cs="Tahoma"/>
          <w:sz w:val="20"/>
          <w:szCs w:val="20"/>
          <w:lang w:eastAsia="pt-BR"/>
        </w:rPr>
        <w:t xml:space="preserve"> Impugnante</w:t>
      </w:r>
      <w:r w:rsidR="00F65024" w:rsidRPr="00F65024">
        <w:rPr>
          <w:rFonts w:ascii="Tahoma" w:eastAsia="Times New Roman" w:hAnsi="Tahoma" w:cs="Tahoma"/>
          <w:sz w:val="20"/>
          <w:szCs w:val="20"/>
          <w:lang w:eastAsia="pt-BR"/>
        </w:rPr>
        <w:t xml:space="preserve"> está relacionad</w:t>
      </w:r>
      <w:r w:rsidR="00B3299D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910445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764975">
        <w:rPr>
          <w:rFonts w:ascii="Tahoma" w:eastAsia="Times New Roman" w:hAnsi="Tahoma" w:cs="Tahoma"/>
          <w:sz w:val="20"/>
          <w:szCs w:val="20"/>
          <w:lang w:eastAsia="pt-BR"/>
        </w:rPr>
        <w:t>à permissão/não vedação de taxa de administração negativa (desconto) ou deságio sobre o valor nominal dos benefícios e da exigência de rede credenciada na fase de habilitação (Qualificação Técnica)</w:t>
      </w:r>
      <w:r w:rsidR="00F65024" w:rsidRPr="00A22DDE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714A8">
        <w:rPr>
          <w:rFonts w:ascii="Tahoma" w:eastAsia="Times New Roman" w:hAnsi="Tahoma" w:cs="Tahoma"/>
          <w:sz w:val="20"/>
          <w:szCs w:val="20"/>
          <w:lang w:eastAsia="pt-BR"/>
        </w:rPr>
        <w:t>alegando</w:t>
      </w:r>
      <w:r w:rsidR="00910445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764975">
        <w:rPr>
          <w:rFonts w:ascii="Tahoma" w:eastAsia="Times New Roman" w:hAnsi="Tahoma" w:cs="Tahoma"/>
          <w:sz w:val="20"/>
          <w:szCs w:val="20"/>
          <w:lang w:eastAsia="pt-BR"/>
        </w:rPr>
        <w:t>o comprometimento da legalidade, da economicidade e da competitividade do certame</w:t>
      </w:r>
      <w:r w:rsidR="00865310">
        <w:rPr>
          <w:rFonts w:ascii="Tahoma" w:eastAsia="Times New Roman" w:hAnsi="Tahoma" w:cs="Tahoma"/>
          <w:sz w:val="20"/>
          <w:szCs w:val="20"/>
          <w:lang w:eastAsia="pt-BR"/>
        </w:rPr>
        <w:t>.</w:t>
      </w:r>
      <w:r w:rsidR="00910445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</w:p>
    <w:p w14:paraId="7A58E716" w14:textId="7103801E" w:rsidR="00422062" w:rsidRPr="00422062" w:rsidRDefault="00865310" w:rsidP="00422062">
      <w:pPr>
        <w:tabs>
          <w:tab w:val="left" w:pos="567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t-BR"/>
        </w:rPr>
      </w:pPr>
      <w:r>
        <w:rPr>
          <w:rFonts w:ascii="Tahoma" w:eastAsia="Times New Roman" w:hAnsi="Tahoma" w:cs="Tahoma"/>
          <w:sz w:val="20"/>
          <w:szCs w:val="20"/>
          <w:lang w:eastAsia="pt-BR"/>
        </w:rPr>
        <w:tab/>
        <w:t xml:space="preserve">De acordo com a </w:t>
      </w:r>
      <w:r w:rsidR="009D2146">
        <w:rPr>
          <w:rFonts w:ascii="Tahoma" w:eastAsia="Times New Roman" w:hAnsi="Tahoma" w:cs="Tahoma"/>
          <w:sz w:val="20"/>
          <w:szCs w:val="20"/>
          <w:lang w:eastAsia="pt-BR"/>
        </w:rPr>
        <w:t>I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mpugnante, </w:t>
      </w:r>
      <w:r w:rsidR="000F56C1">
        <w:rPr>
          <w:rFonts w:ascii="Tahoma" w:eastAsia="Times New Roman" w:hAnsi="Tahoma" w:cs="Tahoma"/>
          <w:sz w:val="20"/>
          <w:szCs w:val="20"/>
          <w:lang w:eastAsia="pt-BR"/>
        </w:rPr>
        <w:t xml:space="preserve">a permissão de taxa negativa afronta </w:t>
      </w:r>
      <w:r w:rsidR="009D2146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0F56C1">
        <w:rPr>
          <w:rFonts w:ascii="Tahoma" w:eastAsia="Times New Roman" w:hAnsi="Tahoma" w:cs="Tahoma"/>
          <w:sz w:val="20"/>
          <w:szCs w:val="20"/>
          <w:lang w:eastAsia="pt-BR"/>
        </w:rPr>
        <w:t>o Decreto nº 12.712/2025, que regulamenta o Programa de Alimentação do Trabalhador (PAT)</w:t>
      </w:r>
      <w:r w:rsidR="00422062">
        <w:rPr>
          <w:rFonts w:ascii="Tahoma" w:eastAsia="Times New Roman" w:hAnsi="Tahoma" w:cs="Tahoma"/>
          <w:sz w:val="20"/>
          <w:szCs w:val="20"/>
          <w:lang w:eastAsia="pt-BR"/>
        </w:rPr>
        <w:t xml:space="preserve">, proibindo expressamente o </w:t>
      </w:r>
      <w:r w:rsidR="009D2146">
        <w:rPr>
          <w:rFonts w:ascii="Tahoma" w:eastAsia="Times New Roman" w:hAnsi="Tahoma" w:cs="Tahoma"/>
          <w:sz w:val="20"/>
          <w:szCs w:val="20"/>
          <w:lang w:eastAsia="pt-BR"/>
        </w:rPr>
        <w:t>d</w:t>
      </w:r>
      <w:r w:rsidR="00422062" w:rsidRPr="00422062">
        <w:rPr>
          <w:rFonts w:ascii="Tahoma" w:eastAsia="Times New Roman" w:hAnsi="Tahoma" w:cs="Tahoma"/>
          <w:sz w:val="20"/>
          <w:szCs w:val="20"/>
          <w:lang w:eastAsia="pt-BR"/>
        </w:rPr>
        <w:t xml:space="preserve">eságio ou descontos sobre o valor contratado </w:t>
      </w:r>
      <w:r w:rsidR="00422062">
        <w:rPr>
          <w:rFonts w:ascii="Tahoma" w:eastAsia="Times New Roman" w:hAnsi="Tahoma" w:cs="Tahoma"/>
          <w:sz w:val="20"/>
          <w:szCs w:val="20"/>
          <w:lang w:eastAsia="pt-BR"/>
        </w:rPr>
        <w:t>(a</w:t>
      </w:r>
      <w:r w:rsidR="00422062" w:rsidRPr="00422062">
        <w:rPr>
          <w:rFonts w:ascii="Tahoma" w:eastAsia="Times New Roman" w:hAnsi="Tahoma" w:cs="Tahoma"/>
          <w:sz w:val="20"/>
          <w:szCs w:val="20"/>
          <w:lang w:eastAsia="pt-BR"/>
        </w:rPr>
        <w:t xml:space="preserve"> prática de</w:t>
      </w:r>
      <w:r w:rsidR="00422062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22062" w:rsidRPr="00422062">
        <w:rPr>
          <w:rFonts w:ascii="Tahoma" w:eastAsia="Times New Roman" w:hAnsi="Tahoma" w:cs="Tahoma"/>
          <w:sz w:val="20"/>
          <w:szCs w:val="20"/>
          <w:lang w:eastAsia="pt-BR"/>
        </w:rPr>
        <w:t>oferecer taxas negativas, onde a operadora paga para gerir o benefício, foi classificada</w:t>
      </w:r>
      <w:r w:rsidR="00422062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22062" w:rsidRPr="00422062">
        <w:rPr>
          <w:rFonts w:ascii="Tahoma" w:eastAsia="Times New Roman" w:hAnsi="Tahoma" w:cs="Tahoma"/>
          <w:sz w:val="20"/>
          <w:szCs w:val="20"/>
          <w:lang w:eastAsia="pt-BR"/>
        </w:rPr>
        <w:t>como prática abusiva</w:t>
      </w:r>
      <w:r w:rsidR="00422062">
        <w:rPr>
          <w:rFonts w:ascii="Tahoma" w:eastAsia="Times New Roman" w:hAnsi="Tahoma" w:cs="Tahoma"/>
          <w:sz w:val="20"/>
          <w:szCs w:val="20"/>
          <w:lang w:eastAsia="pt-BR"/>
        </w:rPr>
        <w:t xml:space="preserve">) e </w:t>
      </w:r>
      <w:r w:rsidR="009D2146">
        <w:rPr>
          <w:rFonts w:ascii="Tahoma" w:eastAsia="Times New Roman" w:hAnsi="Tahoma" w:cs="Tahoma"/>
          <w:sz w:val="20"/>
          <w:szCs w:val="20"/>
          <w:lang w:eastAsia="pt-BR"/>
        </w:rPr>
        <w:t>p</w:t>
      </w:r>
      <w:r w:rsidR="00422062" w:rsidRPr="00422062">
        <w:rPr>
          <w:rFonts w:ascii="Tahoma" w:eastAsia="Times New Roman" w:hAnsi="Tahoma" w:cs="Tahoma"/>
          <w:sz w:val="20"/>
          <w:szCs w:val="20"/>
          <w:lang w:eastAsia="pt-BR"/>
        </w:rPr>
        <w:t>razos que descaracterizem o pré-pagamento</w:t>
      </w:r>
      <w:r w:rsidR="00422062">
        <w:rPr>
          <w:rFonts w:ascii="Tahoma" w:eastAsia="Times New Roman" w:hAnsi="Tahoma" w:cs="Tahoma"/>
          <w:sz w:val="20"/>
          <w:szCs w:val="20"/>
          <w:lang w:eastAsia="pt-BR"/>
        </w:rPr>
        <w:t xml:space="preserve"> (</w:t>
      </w:r>
      <w:r w:rsidR="00422062" w:rsidRPr="00422062">
        <w:rPr>
          <w:rFonts w:ascii="Tahoma" w:eastAsia="Times New Roman" w:hAnsi="Tahoma" w:cs="Tahoma"/>
          <w:sz w:val="20"/>
          <w:szCs w:val="20"/>
          <w:lang w:eastAsia="pt-BR"/>
        </w:rPr>
        <w:t>reforça a</w:t>
      </w:r>
      <w:r w:rsidR="00422062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22062" w:rsidRPr="00422062">
        <w:rPr>
          <w:rFonts w:ascii="Tahoma" w:eastAsia="Times New Roman" w:hAnsi="Tahoma" w:cs="Tahoma"/>
          <w:sz w:val="20"/>
          <w:szCs w:val="20"/>
          <w:lang w:eastAsia="pt-BR"/>
        </w:rPr>
        <w:t>necessidade de pré-pagamento, proibindo o financiamento da Administração pela</w:t>
      </w:r>
    </w:p>
    <w:p w14:paraId="23153936" w14:textId="1AF1516A" w:rsidR="00422062" w:rsidRPr="00422062" w:rsidRDefault="00422062" w:rsidP="00422062">
      <w:pPr>
        <w:tabs>
          <w:tab w:val="left" w:pos="567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t-BR"/>
        </w:rPr>
      </w:pPr>
      <w:r w:rsidRPr="00422062">
        <w:rPr>
          <w:rFonts w:ascii="Tahoma" w:eastAsia="Times New Roman" w:hAnsi="Tahoma" w:cs="Tahoma"/>
          <w:sz w:val="20"/>
          <w:szCs w:val="20"/>
          <w:lang w:eastAsia="pt-BR"/>
        </w:rPr>
        <w:t>Operadora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). </w:t>
      </w:r>
      <w:r w:rsidRPr="00422062">
        <w:rPr>
          <w:rFonts w:ascii="Tahoma" w:eastAsia="Times New Roman" w:hAnsi="Tahoma" w:cs="Tahoma"/>
          <w:sz w:val="20"/>
          <w:szCs w:val="20"/>
          <w:lang w:eastAsia="pt-BR"/>
        </w:rPr>
        <w:t>A taxa negativa gera um desequilíbrio econômico-financeiro que, posteriormente, é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422062">
        <w:rPr>
          <w:rFonts w:ascii="Tahoma" w:eastAsia="Times New Roman" w:hAnsi="Tahoma" w:cs="Tahoma"/>
          <w:sz w:val="20"/>
          <w:szCs w:val="20"/>
          <w:lang w:eastAsia="pt-BR"/>
        </w:rPr>
        <w:t>compensado pelo aumento das taxas cobradas dos restaurantes e estabelecimentos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422062">
        <w:rPr>
          <w:rFonts w:ascii="Tahoma" w:eastAsia="Times New Roman" w:hAnsi="Tahoma" w:cs="Tahoma"/>
          <w:sz w:val="20"/>
          <w:szCs w:val="20"/>
          <w:lang w:eastAsia="pt-BR"/>
        </w:rPr>
        <w:t>credenciados, o que o novo decreto busca limitar a um teto de 3,6% (MDR).</w:t>
      </w:r>
    </w:p>
    <w:p w14:paraId="1E172B05" w14:textId="2E56F5E3" w:rsidR="000F56C1" w:rsidRDefault="00422062" w:rsidP="00C914A8">
      <w:pPr>
        <w:tabs>
          <w:tab w:val="left" w:pos="567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t-BR"/>
        </w:rPr>
      </w:pPr>
      <w:r>
        <w:rPr>
          <w:rFonts w:ascii="Tahoma" w:eastAsia="Times New Roman" w:hAnsi="Tahoma" w:cs="Tahoma"/>
          <w:sz w:val="20"/>
          <w:szCs w:val="20"/>
          <w:lang w:eastAsia="pt-BR"/>
        </w:rPr>
        <w:tab/>
        <w:t>Alega que a</w:t>
      </w:r>
      <w:r w:rsidR="00DD628A">
        <w:rPr>
          <w:rFonts w:ascii="Tahoma" w:eastAsia="Times New Roman" w:hAnsi="Tahoma" w:cs="Tahoma"/>
          <w:sz w:val="20"/>
          <w:szCs w:val="20"/>
          <w:lang w:eastAsia="pt-BR"/>
        </w:rPr>
        <w:t xml:space="preserve"> permissão de taxa negativa pode distorcer a competição, favorecendo empresas com modelos de negócio predatórios ou insustentáveis a longo prazo</w:t>
      </w:r>
      <w:r w:rsidR="00C914A8">
        <w:rPr>
          <w:rFonts w:ascii="Tahoma" w:eastAsia="Times New Roman" w:hAnsi="Tahoma" w:cs="Tahoma"/>
          <w:sz w:val="20"/>
          <w:szCs w:val="20"/>
          <w:lang w:eastAsia="pt-BR"/>
        </w:rPr>
        <w:t xml:space="preserve"> (Princípio da Isonomia e da Competitividade)</w:t>
      </w:r>
      <w:r w:rsidR="00DD628A">
        <w:rPr>
          <w:rFonts w:ascii="Tahoma" w:eastAsia="Times New Roman" w:hAnsi="Tahoma" w:cs="Tahoma"/>
          <w:sz w:val="20"/>
          <w:szCs w:val="20"/>
          <w:lang w:eastAsia="pt-BR"/>
        </w:rPr>
        <w:t>; propostas com taxas negativas podem indicar inexequibilidade e riscos futuros</w:t>
      </w:r>
      <w:r w:rsidR="00C914A8">
        <w:rPr>
          <w:rFonts w:ascii="Tahoma" w:eastAsia="Times New Roman" w:hAnsi="Tahoma" w:cs="Tahoma"/>
          <w:sz w:val="20"/>
          <w:szCs w:val="20"/>
          <w:lang w:eastAsia="pt-BR"/>
        </w:rPr>
        <w:t xml:space="preserve"> (Princípio da Seleção mais Vantajosa)</w:t>
      </w:r>
      <w:r w:rsidR="00DD628A">
        <w:rPr>
          <w:rFonts w:ascii="Tahoma" w:eastAsia="Times New Roman" w:hAnsi="Tahoma" w:cs="Tahoma"/>
          <w:sz w:val="20"/>
          <w:szCs w:val="20"/>
          <w:lang w:eastAsia="pt-BR"/>
        </w:rPr>
        <w:t>; embora aparentemente vantajosas no preço, podem esconder custos indiretos ou riscos para a Administração e para os beneficiários</w:t>
      </w:r>
      <w:r w:rsidR="00C914A8">
        <w:rPr>
          <w:rFonts w:ascii="Tahoma" w:eastAsia="Times New Roman" w:hAnsi="Tahoma" w:cs="Tahoma"/>
          <w:sz w:val="20"/>
          <w:szCs w:val="20"/>
          <w:lang w:eastAsia="pt-BR"/>
        </w:rPr>
        <w:t xml:space="preserve"> (Princípio do Julgamento Objetivo)</w:t>
      </w:r>
      <w:r w:rsidR="00DD628A">
        <w:rPr>
          <w:rFonts w:ascii="Tahoma" w:eastAsia="Times New Roman" w:hAnsi="Tahoma" w:cs="Tahoma"/>
          <w:sz w:val="20"/>
          <w:szCs w:val="20"/>
          <w:lang w:eastAsia="pt-BR"/>
        </w:rPr>
        <w:t xml:space="preserve">; a taxa de administração negativa é forte </w:t>
      </w:r>
      <w:r w:rsidR="00C914A8">
        <w:rPr>
          <w:rFonts w:ascii="Tahoma" w:eastAsia="Times New Roman" w:hAnsi="Tahoma" w:cs="Tahoma"/>
          <w:sz w:val="20"/>
          <w:szCs w:val="20"/>
          <w:lang w:eastAsia="pt-BR"/>
        </w:rPr>
        <w:t xml:space="preserve">indícios de inexequibilidade, pois sugere que a empresa não obterá receita suficiente para cobrir seus custos operacionais (Princípio da Exequibilidade da Proposta); </w:t>
      </w:r>
      <w:r w:rsidR="00C914A8" w:rsidRPr="00C914A8">
        <w:rPr>
          <w:rFonts w:ascii="Tahoma" w:eastAsia="Times New Roman" w:hAnsi="Tahoma" w:cs="Tahoma"/>
          <w:sz w:val="20"/>
          <w:szCs w:val="20"/>
          <w:lang w:eastAsia="pt-BR"/>
        </w:rPr>
        <w:t>A permissão de práticas que distorcem o mercado pode abrir</w:t>
      </w:r>
      <w:r w:rsidR="00C914A8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914A8" w:rsidRPr="00C914A8">
        <w:rPr>
          <w:rFonts w:ascii="Tahoma" w:eastAsia="Times New Roman" w:hAnsi="Tahoma" w:cs="Tahoma"/>
          <w:sz w:val="20"/>
          <w:szCs w:val="20"/>
          <w:lang w:eastAsia="pt-BR"/>
        </w:rPr>
        <w:t>precedentes para condutas antiéticas e fraudulentas, comprometendo a integridade do</w:t>
      </w:r>
      <w:r w:rsidR="00C914A8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914A8" w:rsidRPr="00C914A8">
        <w:rPr>
          <w:rFonts w:ascii="Tahoma" w:eastAsia="Times New Roman" w:hAnsi="Tahoma" w:cs="Tahoma"/>
          <w:sz w:val="20"/>
          <w:szCs w:val="20"/>
          <w:lang w:eastAsia="pt-BR"/>
        </w:rPr>
        <w:t>processo licitatório e da execução contratual</w:t>
      </w:r>
      <w:r w:rsidR="00C914A8">
        <w:rPr>
          <w:rFonts w:ascii="Tahoma" w:eastAsia="Times New Roman" w:hAnsi="Tahoma" w:cs="Tahoma"/>
          <w:sz w:val="20"/>
          <w:szCs w:val="20"/>
          <w:lang w:eastAsia="pt-BR"/>
        </w:rPr>
        <w:t xml:space="preserve"> (Princípio da Integridade e da Prevenção a Fraudes); </w:t>
      </w:r>
      <w:r w:rsidR="00C914A8" w:rsidRPr="00C914A8">
        <w:rPr>
          <w:rFonts w:ascii="Tahoma" w:eastAsia="Times New Roman" w:hAnsi="Tahoma" w:cs="Tahoma"/>
          <w:sz w:val="20"/>
          <w:szCs w:val="20"/>
          <w:lang w:eastAsia="pt-BR"/>
        </w:rPr>
        <w:t>a finalidade do contrato é garantir um benefício eficaz e de qualidade aos</w:t>
      </w:r>
      <w:r w:rsidR="00C914A8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914A8" w:rsidRPr="00C914A8">
        <w:rPr>
          <w:rFonts w:ascii="Tahoma" w:eastAsia="Times New Roman" w:hAnsi="Tahoma" w:cs="Tahoma"/>
          <w:sz w:val="20"/>
          <w:szCs w:val="20"/>
          <w:lang w:eastAsia="pt-BR"/>
        </w:rPr>
        <w:t>servidores. Práticas predatórias podem comprometer a rede credenciada, a aceitação</w:t>
      </w:r>
      <w:r w:rsidR="00C914A8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914A8" w:rsidRPr="00C914A8">
        <w:rPr>
          <w:rFonts w:ascii="Tahoma" w:eastAsia="Times New Roman" w:hAnsi="Tahoma" w:cs="Tahoma"/>
          <w:sz w:val="20"/>
          <w:szCs w:val="20"/>
          <w:lang w:eastAsia="pt-BR"/>
        </w:rPr>
        <w:t>do cartão e, consequentemente, o direito do trabalhador ao benefício</w:t>
      </w:r>
      <w:r w:rsidR="00C914A8">
        <w:rPr>
          <w:rFonts w:ascii="Tahoma" w:eastAsia="Times New Roman" w:hAnsi="Tahoma" w:cs="Tahoma"/>
          <w:sz w:val="20"/>
          <w:szCs w:val="20"/>
          <w:lang w:eastAsia="pt-BR"/>
        </w:rPr>
        <w:t xml:space="preserve"> (Proteção ao Trabalhador-Beneficiário).</w:t>
      </w:r>
    </w:p>
    <w:p w14:paraId="04B924C6" w14:textId="1C645C22" w:rsidR="00C914A8" w:rsidRDefault="001E21F4" w:rsidP="005103F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Defende a </w:t>
      </w:r>
      <w:r w:rsidR="00B861E5">
        <w:rPr>
          <w:rFonts w:ascii="Tahoma" w:hAnsi="Tahoma" w:cs="Tahoma"/>
          <w:sz w:val="20"/>
          <w:szCs w:val="20"/>
        </w:rPr>
        <w:t>impugnante</w:t>
      </w:r>
      <w:r w:rsidR="00C914A8">
        <w:rPr>
          <w:rFonts w:ascii="Tahoma" w:hAnsi="Tahoma" w:cs="Tahoma"/>
          <w:sz w:val="20"/>
          <w:szCs w:val="20"/>
        </w:rPr>
        <w:t xml:space="preserve"> que a jurisprudência dos Tribunais de Contas tem se posicionado no sentido de que a </w:t>
      </w:r>
      <w:r w:rsidR="00C914A8" w:rsidRPr="00C914A8">
        <w:rPr>
          <w:rFonts w:ascii="Tahoma" w:hAnsi="Tahoma" w:cs="Tahoma"/>
          <w:sz w:val="20"/>
          <w:szCs w:val="20"/>
        </w:rPr>
        <w:t>Administração Pública deve zelar pela</w:t>
      </w:r>
      <w:r w:rsidR="00C914A8">
        <w:rPr>
          <w:rFonts w:ascii="Tahoma" w:hAnsi="Tahoma" w:cs="Tahoma"/>
          <w:sz w:val="20"/>
          <w:szCs w:val="20"/>
        </w:rPr>
        <w:t xml:space="preserve"> </w:t>
      </w:r>
      <w:r w:rsidR="00C914A8" w:rsidRPr="00C914A8">
        <w:rPr>
          <w:rFonts w:ascii="Tahoma" w:hAnsi="Tahoma" w:cs="Tahoma"/>
          <w:sz w:val="20"/>
          <w:szCs w:val="20"/>
        </w:rPr>
        <w:t>exequibilidade das propostas e coibir práticas que possam comprometer a qualidade dos</w:t>
      </w:r>
      <w:r w:rsidR="00C914A8">
        <w:rPr>
          <w:rFonts w:ascii="Tahoma" w:hAnsi="Tahoma" w:cs="Tahoma"/>
          <w:sz w:val="20"/>
          <w:szCs w:val="20"/>
        </w:rPr>
        <w:t xml:space="preserve"> </w:t>
      </w:r>
      <w:r w:rsidR="00C914A8" w:rsidRPr="00C914A8">
        <w:rPr>
          <w:rFonts w:ascii="Tahoma" w:hAnsi="Tahoma" w:cs="Tahoma"/>
          <w:sz w:val="20"/>
          <w:szCs w:val="20"/>
        </w:rPr>
        <w:t>serviços ou gerar desequilíbrio econômico-financeiro futuro</w:t>
      </w:r>
      <w:r w:rsidR="005103F8">
        <w:rPr>
          <w:rFonts w:ascii="Tahoma" w:hAnsi="Tahoma" w:cs="Tahoma"/>
          <w:sz w:val="20"/>
          <w:szCs w:val="20"/>
        </w:rPr>
        <w:t xml:space="preserve"> e que os serviços, objeto do Edital, </w:t>
      </w:r>
      <w:r w:rsidR="005103F8" w:rsidRPr="005103F8">
        <w:rPr>
          <w:rFonts w:ascii="Tahoma" w:hAnsi="Tahoma" w:cs="Tahoma"/>
          <w:sz w:val="20"/>
          <w:szCs w:val="20"/>
        </w:rPr>
        <w:t>possu</w:t>
      </w:r>
      <w:r w:rsidR="005103F8">
        <w:rPr>
          <w:rFonts w:ascii="Tahoma" w:hAnsi="Tahoma" w:cs="Tahoma"/>
          <w:sz w:val="20"/>
          <w:szCs w:val="20"/>
        </w:rPr>
        <w:t>em</w:t>
      </w:r>
      <w:r w:rsidR="005103F8" w:rsidRPr="005103F8">
        <w:rPr>
          <w:rFonts w:ascii="Tahoma" w:hAnsi="Tahoma" w:cs="Tahoma"/>
          <w:sz w:val="20"/>
          <w:szCs w:val="20"/>
        </w:rPr>
        <w:t xml:space="preserve"> um modelo de negócio peculiar, que difere de outras prestações de serviço. A</w:t>
      </w:r>
      <w:r w:rsidR="005103F8">
        <w:rPr>
          <w:rFonts w:ascii="Tahoma" w:hAnsi="Tahoma" w:cs="Tahoma"/>
          <w:sz w:val="20"/>
          <w:szCs w:val="20"/>
        </w:rPr>
        <w:t xml:space="preserve"> </w:t>
      </w:r>
      <w:r w:rsidR="005103F8" w:rsidRPr="005103F8">
        <w:rPr>
          <w:rFonts w:ascii="Tahoma" w:hAnsi="Tahoma" w:cs="Tahoma"/>
          <w:sz w:val="20"/>
          <w:szCs w:val="20"/>
        </w:rPr>
        <w:t>remuneração da empresa contratada não advém diretamente da taxa de administração paga</w:t>
      </w:r>
      <w:r w:rsidR="005103F8">
        <w:rPr>
          <w:rFonts w:ascii="Tahoma" w:hAnsi="Tahoma" w:cs="Tahoma"/>
          <w:sz w:val="20"/>
          <w:szCs w:val="20"/>
        </w:rPr>
        <w:t xml:space="preserve"> </w:t>
      </w:r>
      <w:r w:rsidR="005103F8" w:rsidRPr="005103F8">
        <w:rPr>
          <w:rFonts w:ascii="Tahoma" w:hAnsi="Tahoma" w:cs="Tahoma"/>
          <w:sz w:val="20"/>
          <w:szCs w:val="20"/>
        </w:rPr>
        <w:t xml:space="preserve">pela Administração Pública, mas sim de uma taxa de desconto </w:t>
      </w:r>
      <w:r w:rsidR="005103F8" w:rsidRPr="005103F8">
        <w:rPr>
          <w:rFonts w:ascii="Tahoma" w:hAnsi="Tahoma" w:cs="Tahoma"/>
          <w:i/>
          <w:iCs/>
          <w:sz w:val="20"/>
          <w:szCs w:val="20"/>
        </w:rPr>
        <w:t xml:space="preserve">(MDR - Merchant </w:t>
      </w:r>
      <w:proofErr w:type="spellStart"/>
      <w:r w:rsidR="005103F8" w:rsidRPr="005103F8">
        <w:rPr>
          <w:rFonts w:ascii="Tahoma" w:hAnsi="Tahoma" w:cs="Tahoma"/>
          <w:i/>
          <w:iCs/>
          <w:sz w:val="20"/>
          <w:szCs w:val="20"/>
        </w:rPr>
        <w:t>Discount</w:t>
      </w:r>
      <w:proofErr w:type="spellEnd"/>
      <w:r w:rsidR="005103F8" w:rsidRPr="005103F8">
        <w:rPr>
          <w:rFonts w:ascii="Tahoma" w:hAnsi="Tahoma" w:cs="Tahoma"/>
          <w:i/>
          <w:iCs/>
          <w:sz w:val="20"/>
          <w:szCs w:val="20"/>
        </w:rPr>
        <w:t xml:space="preserve"> Rate)</w:t>
      </w:r>
      <w:r w:rsidR="005103F8" w:rsidRPr="005103F8">
        <w:rPr>
          <w:rFonts w:ascii="Tahoma" w:hAnsi="Tahoma" w:cs="Tahoma"/>
          <w:sz w:val="20"/>
          <w:szCs w:val="20"/>
        </w:rPr>
        <w:t xml:space="preserve"> aplicada sobre o valor das transações realizadas nos estabelecimentos credenciados</w:t>
      </w:r>
      <w:r w:rsidR="005103F8">
        <w:rPr>
          <w:rFonts w:ascii="Tahoma" w:hAnsi="Tahoma" w:cs="Tahoma"/>
          <w:sz w:val="20"/>
          <w:szCs w:val="20"/>
        </w:rPr>
        <w:t>.</w:t>
      </w:r>
    </w:p>
    <w:p w14:paraId="0E7CA0F8" w14:textId="68564AA3" w:rsidR="002F1D1A" w:rsidRDefault="00422062" w:rsidP="006D390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Ainda, afirma que o</w:t>
      </w:r>
      <w:r w:rsidRPr="00422062">
        <w:rPr>
          <w:rFonts w:ascii="Tahoma" w:hAnsi="Tahoma" w:cs="Tahoma"/>
          <w:sz w:val="20"/>
          <w:szCs w:val="20"/>
        </w:rPr>
        <w:t xml:space="preserve"> edital exige, de forma indevida, a comprovação prévia de rede credenciada já</w:t>
      </w:r>
      <w:r>
        <w:rPr>
          <w:rFonts w:ascii="Tahoma" w:hAnsi="Tahoma" w:cs="Tahoma"/>
          <w:sz w:val="20"/>
          <w:szCs w:val="20"/>
        </w:rPr>
        <w:t xml:space="preserve"> </w:t>
      </w:r>
      <w:r w:rsidRPr="00422062">
        <w:rPr>
          <w:rFonts w:ascii="Tahoma" w:hAnsi="Tahoma" w:cs="Tahoma"/>
          <w:sz w:val="20"/>
          <w:szCs w:val="20"/>
        </w:rPr>
        <w:t>na fase de habilitação</w:t>
      </w:r>
      <w:r>
        <w:rPr>
          <w:rFonts w:ascii="Tahoma" w:hAnsi="Tahoma" w:cs="Tahoma"/>
          <w:sz w:val="20"/>
          <w:szCs w:val="20"/>
        </w:rPr>
        <w:t xml:space="preserve"> (item 9.10.2 do Edital)</w:t>
      </w:r>
      <w:r w:rsidRPr="00422062">
        <w:rPr>
          <w:rFonts w:ascii="Tahoma" w:hAnsi="Tahoma" w:cs="Tahoma"/>
          <w:sz w:val="20"/>
          <w:szCs w:val="20"/>
        </w:rPr>
        <w:t xml:space="preserve">, o que configura afronta direta à </w:t>
      </w:r>
      <w:r>
        <w:rPr>
          <w:rFonts w:ascii="Tahoma" w:hAnsi="Tahoma" w:cs="Tahoma"/>
          <w:sz w:val="20"/>
          <w:szCs w:val="20"/>
        </w:rPr>
        <w:t>Lei 14.133/2021. Que tal comprovação deve ser exigida</w:t>
      </w:r>
      <w:r w:rsidRPr="00422062">
        <w:rPr>
          <w:rFonts w:ascii="Tahoma" w:hAnsi="Tahoma" w:cs="Tahoma"/>
          <w:sz w:val="20"/>
          <w:szCs w:val="20"/>
        </w:rPr>
        <w:t xml:space="preserve"> após assinatura do contrato, </w:t>
      </w:r>
      <w:r>
        <w:rPr>
          <w:rFonts w:ascii="Tahoma" w:hAnsi="Tahoma" w:cs="Tahoma"/>
          <w:sz w:val="20"/>
          <w:szCs w:val="20"/>
        </w:rPr>
        <w:t xml:space="preserve">pois </w:t>
      </w:r>
      <w:r w:rsidRPr="00422062">
        <w:rPr>
          <w:rFonts w:ascii="Tahoma" w:hAnsi="Tahoma" w:cs="Tahoma"/>
          <w:sz w:val="20"/>
          <w:szCs w:val="20"/>
        </w:rPr>
        <w:t xml:space="preserve">restringe a competitividade da licitação, </w:t>
      </w:r>
      <w:r>
        <w:rPr>
          <w:rFonts w:ascii="Tahoma" w:hAnsi="Tahoma" w:cs="Tahoma"/>
          <w:sz w:val="20"/>
          <w:szCs w:val="20"/>
        </w:rPr>
        <w:t xml:space="preserve">que a exigência </w:t>
      </w:r>
      <w:r w:rsidRPr="00422062">
        <w:rPr>
          <w:rFonts w:ascii="Tahoma" w:hAnsi="Tahoma" w:cs="Tahoma"/>
          <w:sz w:val="20"/>
          <w:szCs w:val="20"/>
        </w:rPr>
        <w:t>é desarrazoada, é</w:t>
      </w:r>
      <w:r>
        <w:rPr>
          <w:rFonts w:ascii="Tahoma" w:hAnsi="Tahoma" w:cs="Tahoma"/>
          <w:sz w:val="20"/>
          <w:szCs w:val="20"/>
        </w:rPr>
        <w:t xml:space="preserve"> </w:t>
      </w:r>
      <w:r w:rsidRPr="00422062">
        <w:rPr>
          <w:rFonts w:ascii="Tahoma" w:hAnsi="Tahoma" w:cs="Tahoma"/>
          <w:sz w:val="20"/>
          <w:szCs w:val="20"/>
        </w:rPr>
        <w:t xml:space="preserve">desproporcional com a intenção do objeto, direciona, </w:t>
      </w:r>
      <w:r w:rsidR="002F1D1A">
        <w:rPr>
          <w:rFonts w:ascii="Tahoma" w:hAnsi="Tahoma" w:cs="Tahoma"/>
          <w:sz w:val="20"/>
          <w:szCs w:val="20"/>
        </w:rPr>
        <w:t xml:space="preserve">cerceando </w:t>
      </w:r>
      <w:r w:rsidRPr="00422062">
        <w:rPr>
          <w:rFonts w:ascii="Tahoma" w:hAnsi="Tahoma" w:cs="Tahoma"/>
          <w:sz w:val="20"/>
          <w:szCs w:val="20"/>
        </w:rPr>
        <w:t>a participação de</w:t>
      </w:r>
      <w:r w:rsidR="002F1D1A">
        <w:rPr>
          <w:rFonts w:ascii="Tahoma" w:hAnsi="Tahoma" w:cs="Tahoma"/>
          <w:sz w:val="20"/>
          <w:szCs w:val="20"/>
        </w:rPr>
        <w:t xml:space="preserve"> </w:t>
      </w:r>
      <w:r w:rsidRPr="00422062">
        <w:rPr>
          <w:rFonts w:ascii="Tahoma" w:hAnsi="Tahoma" w:cs="Tahoma"/>
          <w:sz w:val="20"/>
          <w:szCs w:val="20"/>
        </w:rPr>
        <w:t>licitantes, restring</w:t>
      </w:r>
      <w:r w:rsidR="002F1D1A">
        <w:rPr>
          <w:rFonts w:ascii="Tahoma" w:hAnsi="Tahoma" w:cs="Tahoma"/>
          <w:sz w:val="20"/>
          <w:szCs w:val="20"/>
        </w:rPr>
        <w:t>indo</w:t>
      </w:r>
      <w:r w:rsidRPr="00422062">
        <w:rPr>
          <w:rFonts w:ascii="Tahoma" w:hAnsi="Tahoma" w:cs="Tahoma"/>
          <w:sz w:val="20"/>
          <w:szCs w:val="20"/>
        </w:rPr>
        <w:t xml:space="preserve"> o caráter competitivo do certame e fer</w:t>
      </w:r>
      <w:r w:rsidR="002F1D1A">
        <w:rPr>
          <w:rFonts w:ascii="Tahoma" w:hAnsi="Tahoma" w:cs="Tahoma"/>
          <w:sz w:val="20"/>
          <w:szCs w:val="20"/>
        </w:rPr>
        <w:t>indo</w:t>
      </w:r>
      <w:r w:rsidRPr="00422062">
        <w:rPr>
          <w:rFonts w:ascii="Tahoma" w:hAnsi="Tahoma" w:cs="Tahoma"/>
          <w:sz w:val="20"/>
          <w:szCs w:val="20"/>
        </w:rPr>
        <w:t xml:space="preserve"> a lisura do procedimento licitatório,</w:t>
      </w:r>
      <w:r w:rsidR="002F1D1A">
        <w:rPr>
          <w:rFonts w:ascii="Tahoma" w:hAnsi="Tahoma" w:cs="Tahoma"/>
          <w:sz w:val="20"/>
          <w:szCs w:val="20"/>
        </w:rPr>
        <w:t xml:space="preserve"> </w:t>
      </w:r>
      <w:r w:rsidR="002F1D1A" w:rsidRPr="002F1D1A">
        <w:rPr>
          <w:rFonts w:ascii="Tahoma" w:hAnsi="Tahoma" w:cs="Tahoma"/>
          <w:sz w:val="20"/>
          <w:szCs w:val="20"/>
        </w:rPr>
        <w:t>maculando a isonomia entre</w:t>
      </w:r>
      <w:r w:rsidR="002F1D1A">
        <w:rPr>
          <w:rFonts w:ascii="Tahoma" w:hAnsi="Tahoma" w:cs="Tahoma"/>
          <w:sz w:val="20"/>
          <w:szCs w:val="20"/>
        </w:rPr>
        <w:t xml:space="preserve"> </w:t>
      </w:r>
      <w:r w:rsidR="002F1D1A" w:rsidRPr="002F1D1A">
        <w:rPr>
          <w:rFonts w:ascii="Tahoma" w:hAnsi="Tahoma" w:cs="Tahoma"/>
          <w:sz w:val="20"/>
          <w:szCs w:val="20"/>
        </w:rPr>
        <w:t>os licitantes e prejudicando o interesse público</w:t>
      </w:r>
      <w:r w:rsidR="002F1D1A">
        <w:rPr>
          <w:rFonts w:ascii="Tahoma" w:hAnsi="Tahoma" w:cs="Tahoma"/>
          <w:sz w:val="20"/>
          <w:szCs w:val="20"/>
        </w:rPr>
        <w:t>; que t</w:t>
      </w:r>
      <w:r w:rsidR="002F1D1A" w:rsidRPr="002F1D1A">
        <w:rPr>
          <w:rFonts w:ascii="Tahoma" w:hAnsi="Tahoma" w:cs="Tahoma"/>
          <w:sz w:val="20"/>
          <w:szCs w:val="20"/>
        </w:rPr>
        <w:t>al prática viola os princípios da isonomia, da ampla competitividade e da legalidade,</w:t>
      </w:r>
      <w:r w:rsidR="002F1D1A">
        <w:rPr>
          <w:rFonts w:ascii="Tahoma" w:hAnsi="Tahoma" w:cs="Tahoma"/>
          <w:sz w:val="20"/>
          <w:szCs w:val="20"/>
        </w:rPr>
        <w:t xml:space="preserve"> </w:t>
      </w:r>
      <w:r w:rsidR="002F1D1A" w:rsidRPr="002F1D1A">
        <w:rPr>
          <w:rFonts w:ascii="Tahoma" w:hAnsi="Tahoma" w:cs="Tahoma"/>
          <w:sz w:val="20"/>
          <w:szCs w:val="20"/>
        </w:rPr>
        <w:t>previstos no art. 5º da Lei nº 14.133/2021</w:t>
      </w:r>
      <w:r w:rsidR="002F1D1A">
        <w:rPr>
          <w:rFonts w:ascii="Tahoma" w:hAnsi="Tahoma" w:cs="Tahoma"/>
          <w:sz w:val="20"/>
          <w:szCs w:val="20"/>
        </w:rPr>
        <w:t>; que a</w:t>
      </w:r>
      <w:r w:rsidR="002F1D1A" w:rsidRPr="002F1D1A">
        <w:rPr>
          <w:rFonts w:ascii="Tahoma" w:hAnsi="Tahoma" w:cs="Tahoma"/>
          <w:sz w:val="20"/>
          <w:szCs w:val="20"/>
        </w:rPr>
        <w:t xml:space="preserve"> exigência de comprovação de rede credenciada na fase de habilitação impõe ônus</w:t>
      </w:r>
      <w:r w:rsidR="002F1D1A">
        <w:rPr>
          <w:rFonts w:ascii="Tahoma" w:hAnsi="Tahoma" w:cs="Tahoma"/>
          <w:sz w:val="20"/>
          <w:szCs w:val="20"/>
        </w:rPr>
        <w:t xml:space="preserve"> </w:t>
      </w:r>
      <w:r w:rsidR="002F1D1A" w:rsidRPr="002F1D1A">
        <w:rPr>
          <w:rFonts w:ascii="Tahoma" w:hAnsi="Tahoma" w:cs="Tahoma"/>
          <w:sz w:val="20"/>
          <w:szCs w:val="20"/>
        </w:rPr>
        <w:t>desproporcional e cria requisito não previsto legalmente</w:t>
      </w:r>
      <w:r w:rsidR="002F1D1A">
        <w:rPr>
          <w:rFonts w:ascii="Tahoma" w:hAnsi="Tahoma" w:cs="Tahoma"/>
          <w:sz w:val="20"/>
          <w:szCs w:val="20"/>
        </w:rPr>
        <w:t>; que a</w:t>
      </w:r>
      <w:r w:rsidR="002F1D1A" w:rsidRPr="002F1D1A">
        <w:rPr>
          <w:rFonts w:ascii="Tahoma" w:hAnsi="Tahoma" w:cs="Tahoma"/>
          <w:sz w:val="20"/>
          <w:szCs w:val="20"/>
        </w:rPr>
        <w:t xml:space="preserve"> jurisprudência é pacífica no</w:t>
      </w:r>
      <w:r w:rsidR="002F1D1A">
        <w:rPr>
          <w:rFonts w:ascii="Tahoma" w:hAnsi="Tahoma" w:cs="Tahoma"/>
          <w:sz w:val="20"/>
          <w:szCs w:val="20"/>
        </w:rPr>
        <w:t xml:space="preserve"> </w:t>
      </w:r>
      <w:r w:rsidR="002F1D1A" w:rsidRPr="002F1D1A">
        <w:rPr>
          <w:rFonts w:ascii="Tahoma" w:hAnsi="Tahoma" w:cs="Tahoma"/>
          <w:sz w:val="20"/>
          <w:szCs w:val="20"/>
        </w:rPr>
        <w:t>sentido de que a comprovação da rede pode ser exigida como obrigação contratual, mas</w:t>
      </w:r>
      <w:r w:rsidR="002F1D1A">
        <w:rPr>
          <w:rFonts w:ascii="Tahoma" w:hAnsi="Tahoma" w:cs="Tahoma"/>
          <w:sz w:val="20"/>
          <w:szCs w:val="20"/>
        </w:rPr>
        <w:t xml:space="preserve"> </w:t>
      </w:r>
      <w:r w:rsidR="002F1D1A" w:rsidRPr="002F1D1A">
        <w:rPr>
          <w:rFonts w:ascii="Tahoma" w:hAnsi="Tahoma" w:cs="Tahoma"/>
          <w:sz w:val="20"/>
          <w:szCs w:val="20"/>
        </w:rPr>
        <w:t>não como requisito de habilitação</w:t>
      </w:r>
      <w:r w:rsidR="006D3902">
        <w:rPr>
          <w:rFonts w:ascii="Tahoma" w:hAnsi="Tahoma" w:cs="Tahoma"/>
          <w:sz w:val="20"/>
          <w:szCs w:val="20"/>
        </w:rPr>
        <w:t>; que a</w:t>
      </w:r>
      <w:r w:rsidR="002F1D1A">
        <w:rPr>
          <w:rFonts w:ascii="Tahoma" w:hAnsi="Tahoma" w:cs="Tahoma"/>
          <w:sz w:val="20"/>
          <w:szCs w:val="20"/>
        </w:rPr>
        <w:t xml:space="preserve"> </w:t>
      </w:r>
      <w:r w:rsidR="002F1D1A" w:rsidRPr="002F1D1A">
        <w:rPr>
          <w:rFonts w:ascii="Tahoma" w:hAnsi="Tahoma" w:cs="Tahoma"/>
          <w:sz w:val="20"/>
          <w:szCs w:val="20"/>
        </w:rPr>
        <w:t>Administração</w:t>
      </w:r>
      <w:r w:rsidR="002F1D1A">
        <w:rPr>
          <w:rFonts w:ascii="Tahoma" w:hAnsi="Tahoma" w:cs="Tahoma"/>
          <w:sz w:val="20"/>
          <w:szCs w:val="20"/>
        </w:rPr>
        <w:t xml:space="preserve"> não pode</w:t>
      </w:r>
      <w:r w:rsidR="002F1D1A" w:rsidRPr="002F1D1A">
        <w:rPr>
          <w:rFonts w:ascii="Tahoma" w:hAnsi="Tahoma" w:cs="Tahoma"/>
          <w:sz w:val="20"/>
          <w:szCs w:val="20"/>
        </w:rPr>
        <w:t>, em nenhuma hipótese, fazer exigências que</w:t>
      </w:r>
      <w:r w:rsidR="006D3902">
        <w:rPr>
          <w:rFonts w:ascii="Tahoma" w:hAnsi="Tahoma" w:cs="Tahoma"/>
          <w:sz w:val="20"/>
          <w:szCs w:val="20"/>
        </w:rPr>
        <w:t xml:space="preserve"> </w:t>
      </w:r>
      <w:r w:rsidR="002F1D1A" w:rsidRPr="002F1D1A">
        <w:rPr>
          <w:rFonts w:ascii="Tahoma" w:hAnsi="Tahoma" w:cs="Tahoma"/>
          <w:sz w:val="20"/>
          <w:szCs w:val="20"/>
        </w:rPr>
        <w:t>frustrem o caráter competitivo do certame, mas sim garantir ampla participação na disputa</w:t>
      </w:r>
      <w:r w:rsidR="006D3902">
        <w:rPr>
          <w:rFonts w:ascii="Tahoma" w:hAnsi="Tahoma" w:cs="Tahoma"/>
          <w:sz w:val="20"/>
          <w:szCs w:val="20"/>
        </w:rPr>
        <w:t xml:space="preserve"> </w:t>
      </w:r>
      <w:r w:rsidR="002F1D1A" w:rsidRPr="002F1D1A">
        <w:rPr>
          <w:rFonts w:ascii="Tahoma" w:hAnsi="Tahoma" w:cs="Tahoma"/>
          <w:sz w:val="20"/>
          <w:szCs w:val="20"/>
        </w:rPr>
        <w:t>licitatória, possibilitando o maior número possível de concorrentes</w:t>
      </w:r>
      <w:r w:rsidR="006D3902">
        <w:rPr>
          <w:rFonts w:ascii="Tahoma" w:hAnsi="Tahoma" w:cs="Tahoma"/>
          <w:sz w:val="20"/>
          <w:szCs w:val="20"/>
        </w:rPr>
        <w:t>.</w:t>
      </w:r>
    </w:p>
    <w:p w14:paraId="62D32A62" w14:textId="5416C521" w:rsidR="005103F8" w:rsidRDefault="006D3902" w:rsidP="005103F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Requer, por fim, a o recebimento e conhecimento da impugnação, com a </w:t>
      </w:r>
      <w:r w:rsidRPr="00422062">
        <w:rPr>
          <w:rFonts w:ascii="Tahoma" w:hAnsi="Tahoma" w:cs="Tahoma"/>
          <w:sz w:val="20"/>
          <w:szCs w:val="20"/>
        </w:rPr>
        <w:t>reformulação</w:t>
      </w:r>
      <w:r>
        <w:rPr>
          <w:rFonts w:ascii="Tahoma" w:hAnsi="Tahoma" w:cs="Tahoma"/>
          <w:sz w:val="20"/>
          <w:szCs w:val="20"/>
        </w:rPr>
        <w:t xml:space="preserve"> e republicação do edital vedando a oferta de Taxa de Administração Negativa em conformidade com o Decreto nº 12.172/2025 excluindo a exigência da apresentação da rede credenciada no momento da habilitação para que esta seja feita após a assinatura do contrato.</w:t>
      </w:r>
    </w:p>
    <w:p w14:paraId="691629CB" w14:textId="5384587A" w:rsidR="00885929" w:rsidRDefault="00885929" w:rsidP="00B0462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Arial" w:hAnsi="Tahoma" w:cs="Tahoma"/>
          <w:sz w:val="20"/>
          <w:szCs w:val="20"/>
        </w:rPr>
      </w:pPr>
      <w:r w:rsidRPr="00DB0A25">
        <w:rPr>
          <w:rFonts w:ascii="Tahoma" w:eastAsia="Arial" w:hAnsi="Tahoma" w:cs="Tahoma"/>
          <w:sz w:val="20"/>
          <w:szCs w:val="20"/>
        </w:rPr>
        <w:t>É o apertado relatório.</w:t>
      </w:r>
    </w:p>
    <w:p w14:paraId="124E2F89" w14:textId="416FFE36" w:rsidR="00B861E5" w:rsidRDefault="00B861E5" w:rsidP="00B0462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Inicialmente, ca</w:t>
      </w:r>
      <w:r w:rsidR="009D2146">
        <w:rPr>
          <w:rFonts w:ascii="Tahoma" w:eastAsia="Arial" w:hAnsi="Tahoma" w:cs="Tahoma"/>
          <w:sz w:val="20"/>
          <w:szCs w:val="20"/>
        </w:rPr>
        <w:t>be</w:t>
      </w:r>
      <w:r>
        <w:rPr>
          <w:rFonts w:ascii="Tahoma" w:eastAsia="Arial" w:hAnsi="Tahoma" w:cs="Tahoma"/>
          <w:sz w:val="20"/>
          <w:szCs w:val="20"/>
        </w:rPr>
        <w:t xml:space="preserve"> destacar que a </w:t>
      </w:r>
      <w:r w:rsidR="00CE18AA" w:rsidRPr="00DB0A25">
        <w:rPr>
          <w:rFonts w:ascii="Tahoma" w:hAnsi="Tahoma" w:cs="Tahoma"/>
          <w:sz w:val="20"/>
          <w:szCs w:val="20"/>
        </w:rPr>
        <w:t xml:space="preserve">impugnação </w:t>
      </w:r>
      <w:r>
        <w:rPr>
          <w:rFonts w:ascii="Tahoma" w:hAnsi="Tahoma" w:cs="Tahoma"/>
          <w:sz w:val="20"/>
          <w:szCs w:val="20"/>
        </w:rPr>
        <w:t xml:space="preserve">oferecida pela </w:t>
      </w:r>
      <w:r w:rsidR="00EE779C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mpugnante</w:t>
      </w:r>
      <w:r w:rsidR="005B00E6">
        <w:rPr>
          <w:rFonts w:ascii="Tahoma" w:hAnsi="Tahoma" w:cs="Tahoma"/>
          <w:sz w:val="20"/>
          <w:szCs w:val="20"/>
        </w:rPr>
        <w:t xml:space="preserve"> </w:t>
      </w:r>
      <w:r w:rsidR="0092531F" w:rsidRPr="00DB0A25">
        <w:rPr>
          <w:rFonts w:ascii="Tahoma" w:hAnsi="Tahoma" w:cs="Tahoma"/>
          <w:sz w:val="20"/>
          <w:szCs w:val="20"/>
        </w:rPr>
        <w:t xml:space="preserve">preenche os requisitos necessários </w:t>
      </w:r>
      <w:r w:rsidR="007E101D" w:rsidRPr="00DB0A25">
        <w:rPr>
          <w:rFonts w:ascii="Tahoma" w:hAnsi="Tahoma" w:cs="Tahoma"/>
          <w:sz w:val="20"/>
          <w:szCs w:val="20"/>
        </w:rPr>
        <w:t>à</w:t>
      </w:r>
      <w:r w:rsidR="0092531F" w:rsidRPr="00DB0A25">
        <w:rPr>
          <w:rFonts w:ascii="Tahoma" w:hAnsi="Tahoma" w:cs="Tahoma"/>
          <w:sz w:val="20"/>
          <w:szCs w:val="20"/>
        </w:rPr>
        <w:t xml:space="preserve"> sua admissibilidade</w:t>
      </w:r>
      <w:r w:rsidR="00E01A90">
        <w:rPr>
          <w:rFonts w:ascii="Tahoma" w:hAnsi="Tahoma" w:cs="Tahoma"/>
          <w:sz w:val="20"/>
          <w:szCs w:val="20"/>
        </w:rPr>
        <w:t>.</w:t>
      </w:r>
    </w:p>
    <w:p w14:paraId="5C8245A1" w14:textId="0CD06014" w:rsidR="0092531F" w:rsidRDefault="00B861E5" w:rsidP="00B0462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Nesse passo, </w:t>
      </w:r>
      <w:r w:rsidR="00DF74AF">
        <w:rPr>
          <w:rFonts w:ascii="Tahoma" w:hAnsi="Tahoma" w:cs="Tahoma"/>
          <w:sz w:val="20"/>
          <w:szCs w:val="20"/>
        </w:rPr>
        <w:t xml:space="preserve">segundo previsão contida no </w:t>
      </w:r>
      <w:r w:rsidR="002F071F" w:rsidRPr="002F071F">
        <w:rPr>
          <w:rFonts w:ascii="Tahoma" w:hAnsi="Tahoma" w:cs="Tahoma"/>
          <w:color w:val="000000" w:themeColor="text1"/>
          <w:sz w:val="20"/>
          <w:szCs w:val="20"/>
        </w:rPr>
        <w:t>art. 164 da Lei 14.133/2021</w:t>
      </w:r>
      <w:r w:rsidR="0092531F" w:rsidRPr="00DB0A25">
        <w:rPr>
          <w:rFonts w:ascii="Tahoma" w:hAnsi="Tahoma" w:cs="Tahoma"/>
          <w:sz w:val="20"/>
          <w:szCs w:val="20"/>
        </w:rPr>
        <w:t>, qualquer</w:t>
      </w:r>
      <w:r w:rsidR="002F071F">
        <w:rPr>
          <w:rFonts w:ascii="Tahoma" w:hAnsi="Tahoma" w:cs="Tahoma"/>
          <w:sz w:val="20"/>
          <w:szCs w:val="20"/>
        </w:rPr>
        <w:t xml:space="preserve"> pessoa </w:t>
      </w:r>
      <w:r w:rsidR="00DF74AF">
        <w:rPr>
          <w:rFonts w:ascii="Tahoma" w:hAnsi="Tahoma" w:cs="Tahoma"/>
          <w:sz w:val="20"/>
          <w:szCs w:val="20"/>
        </w:rPr>
        <w:t xml:space="preserve">poderá manifestar impugnação aos termos do edital de abertura </w:t>
      </w:r>
      <w:r w:rsidR="0011373D">
        <w:rPr>
          <w:rFonts w:ascii="Tahoma" w:hAnsi="Tahoma" w:cs="Tahoma"/>
          <w:sz w:val="20"/>
          <w:szCs w:val="20"/>
        </w:rPr>
        <w:t>no prazo de até 03</w:t>
      </w:r>
      <w:r w:rsidR="00DF74AF">
        <w:rPr>
          <w:rFonts w:ascii="Tahoma" w:hAnsi="Tahoma" w:cs="Tahoma"/>
          <w:sz w:val="20"/>
          <w:szCs w:val="20"/>
        </w:rPr>
        <w:t xml:space="preserve"> (</w:t>
      </w:r>
      <w:r w:rsidR="0011373D">
        <w:rPr>
          <w:rFonts w:ascii="Tahoma" w:hAnsi="Tahoma" w:cs="Tahoma"/>
          <w:sz w:val="20"/>
          <w:szCs w:val="20"/>
        </w:rPr>
        <w:t>três</w:t>
      </w:r>
      <w:r w:rsidR="00DF74AF">
        <w:rPr>
          <w:rFonts w:ascii="Tahoma" w:hAnsi="Tahoma" w:cs="Tahoma"/>
          <w:sz w:val="20"/>
          <w:szCs w:val="20"/>
        </w:rPr>
        <w:t xml:space="preserve">) dias úteis anteriores a data para </w:t>
      </w:r>
      <w:r w:rsidR="00436B04">
        <w:rPr>
          <w:rFonts w:ascii="Tahoma" w:hAnsi="Tahoma" w:cs="Tahoma"/>
          <w:sz w:val="20"/>
          <w:szCs w:val="20"/>
        </w:rPr>
        <w:t>realização da sessão pública</w:t>
      </w:r>
      <w:r w:rsidR="00E01A90">
        <w:rPr>
          <w:rFonts w:ascii="Tahoma" w:hAnsi="Tahoma" w:cs="Tahoma"/>
          <w:sz w:val="20"/>
          <w:szCs w:val="20"/>
        </w:rPr>
        <w:t>.</w:t>
      </w:r>
      <w:r w:rsidR="0011373D">
        <w:rPr>
          <w:rFonts w:ascii="Tahoma" w:hAnsi="Tahoma" w:cs="Tahoma"/>
          <w:sz w:val="20"/>
          <w:szCs w:val="20"/>
        </w:rPr>
        <w:t xml:space="preserve"> </w:t>
      </w:r>
      <w:r w:rsidR="00DF74AF">
        <w:rPr>
          <w:rFonts w:ascii="Tahoma" w:hAnsi="Tahoma" w:cs="Tahoma"/>
          <w:sz w:val="20"/>
          <w:szCs w:val="20"/>
        </w:rPr>
        <w:t xml:space="preserve">Logo, </w:t>
      </w:r>
      <w:r w:rsidR="00436B04">
        <w:rPr>
          <w:rFonts w:ascii="Tahoma" w:hAnsi="Tahoma" w:cs="Tahoma"/>
          <w:sz w:val="20"/>
          <w:szCs w:val="20"/>
        </w:rPr>
        <w:t>a</w:t>
      </w:r>
      <w:r w:rsidR="00DF74AF">
        <w:rPr>
          <w:rFonts w:ascii="Tahoma" w:hAnsi="Tahoma" w:cs="Tahoma"/>
          <w:sz w:val="20"/>
          <w:szCs w:val="20"/>
        </w:rPr>
        <w:t>presenta a tempestividade legalmente exigida.</w:t>
      </w:r>
    </w:p>
    <w:p w14:paraId="0CB6076F" w14:textId="1CA70FB1" w:rsidR="00DF74AF" w:rsidRDefault="00DF74AF" w:rsidP="00B0462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Quanto </w:t>
      </w:r>
      <w:r w:rsidR="00B01131">
        <w:rPr>
          <w:rFonts w:ascii="Tahoma" w:hAnsi="Tahoma" w:cs="Tahoma"/>
          <w:sz w:val="20"/>
          <w:szCs w:val="20"/>
        </w:rPr>
        <w:t>à</w:t>
      </w:r>
      <w:r>
        <w:rPr>
          <w:rFonts w:ascii="Tahoma" w:hAnsi="Tahoma" w:cs="Tahoma"/>
          <w:sz w:val="20"/>
          <w:szCs w:val="20"/>
        </w:rPr>
        <w:t xml:space="preserve"> legitimidade, também se faz presente</w:t>
      </w:r>
      <w:r w:rsidR="001576C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na medida que a impugnação ao edital pode ser proposta por qualquer </w:t>
      </w:r>
      <w:r w:rsidR="002F071F">
        <w:rPr>
          <w:rFonts w:ascii="Tahoma" w:hAnsi="Tahoma" w:cs="Tahoma"/>
          <w:sz w:val="20"/>
          <w:szCs w:val="20"/>
        </w:rPr>
        <w:t>pessoa</w:t>
      </w:r>
      <w:r>
        <w:rPr>
          <w:rFonts w:ascii="Tahoma" w:hAnsi="Tahoma" w:cs="Tahoma"/>
          <w:sz w:val="20"/>
          <w:szCs w:val="20"/>
        </w:rPr>
        <w:t xml:space="preserve">, condição esta da </w:t>
      </w:r>
      <w:r w:rsidR="00EE779C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mpugnante.</w:t>
      </w:r>
    </w:p>
    <w:p w14:paraId="0BFDB195" w14:textId="7D7D8F74" w:rsidR="00B04622" w:rsidRDefault="00B04622" w:rsidP="00B0462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 tocante ao mérito, é</w:t>
      </w:r>
      <w:r w:rsidRPr="00B04622">
        <w:rPr>
          <w:rFonts w:ascii="Tahoma" w:hAnsi="Tahoma" w:cs="Tahoma"/>
          <w:sz w:val="20"/>
          <w:szCs w:val="20"/>
        </w:rPr>
        <w:t xml:space="preserve"> oportuno salientar que a licitação é o instrumento de seleção na qual se busca obter a</w:t>
      </w:r>
      <w:r>
        <w:rPr>
          <w:rFonts w:ascii="Tahoma" w:hAnsi="Tahoma" w:cs="Tahoma"/>
          <w:sz w:val="20"/>
          <w:szCs w:val="20"/>
        </w:rPr>
        <w:t xml:space="preserve"> </w:t>
      </w:r>
      <w:r w:rsidRPr="00B04622">
        <w:rPr>
          <w:rFonts w:ascii="Tahoma" w:hAnsi="Tahoma" w:cs="Tahoma"/>
          <w:sz w:val="20"/>
          <w:szCs w:val="20"/>
        </w:rPr>
        <w:t xml:space="preserve">proposta mais vantajosa </w:t>
      </w:r>
      <w:r w:rsidR="004E2570">
        <w:rPr>
          <w:rFonts w:ascii="Tahoma" w:hAnsi="Tahoma" w:cs="Tahoma"/>
          <w:sz w:val="20"/>
          <w:szCs w:val="20"/>
        </w:rPr>
        <w:t>aos seus interesses.</w:t>
      </w:r>
    </w:p>
    <w:p w14:paraId="20E3924C" w14:textId="34134CB6" w:rsidR="003478C6" w:rsidRDefault="003478C6" w:rsidP="000B5BC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3478C6">
        <w:rPr>
          <w:rFonts w:ascii="Tahoma" w:hAnsi="Tahoma" w:cs="Tahoma"/>
          <w:sz w:val="20"/>
          <w:szCs w:val="20"/>
        </w:rPr>
        <w:t xml:space="preserve">Como se sabe, </w:t>
      </w:r>
      <w:r w:rsidR="000B5BCD">
        <w:rPr>
          <w:rFonts w:ascii="Tahoma" w:hAnsi="Tahoma" w:cs="Tahoma"/>
          <w:sz w:val="20"/>
          <w:szCs w:val="20"/>
        </w:rPr>
        <w:t xml:space="preserve">analisando diversos editais de licitação para o objeto em questão, </w:t>
      </w:r>
      <w:r w:rsidRPr="003478C6">
        <w:rPr>
          <w:rFonts w:ascii="Tahoma" w:hAnsi="Tahoma" w:cs="Tahoma"/>
          <w:sz w:val="20"/>
          <w:szCs w:val="20"/>
        </w:rPr>
        <w:t xml:space="preserve">é de praxe que haja a oferta de taxas negativas, já que </w:t>
      </w:r>
      <w:r w:rsidR="00EE779C">
        <w:rPr>
          <w:rFonts w:ascii="Tahoma" w:hAnsi="Tahoma" w:cs="Tahoma"/>
          <w:sz w:val="20"/>
          <w:szCs w:val="20"/>
        </w:rPr>
        <w:t>essa tem se mostrado como a</w:t>
      </w:r>
      <w:r w:rsidRPr="003478C6">
        <w:rPr>
          <w:rFonts w:ascii="Tahoma" w:hAnsi="Tahoma" w:cs="Tahoma"/>
          <w:sz w:val="20"/>
          <w:szCs w:val="20"/>
        </w:rPr>
        <w:t xml:space="preserve"> melhor forma</w:t>
      </w:r>
      <w:r w:rsidR="000B5BCD">
        <w:rPr>
          <w:rFonts w:ascii="Tahoma" w:hAnsi="Tahoma" w:cs="Tahoma"/>
          <w:sz w:val="20"/>
          <w:szCs w:val="20"/>
        </w:rPr>
        <w:t xml:space="preserve"> e de real disputa para as</w:t>
      </w:r>
      <w:r w:rsidRPr="003478C6">
        <w:rPr>
          <w:rFonts w:ascii="Tahoma" w:hAnsi="Tahoma" w:cs="Tahoma"/>
          <w:sz w:val="20"/>
          <w:szCs w:val="20"/>
        </w:rPr>
        <w:t xml:space="preserve"> empresas do ramo </w:t>
      </w:r>
      <w:r w:rsidR="000B5BCD">
        <w:rPr>
          <w:rFonts w:ascii="Tahoma" w:hAnsi="Tahoma" w:cs="Tahoma"/>
          <w:sz w:val="20"/>
          <w:szCs w:val="20"/>
        </w:rPr>
        <w:t>ofertarem</w:t>
      </w:r>
      <w:r w:rsidRPr="003478C6">
        <w:rPr>
          <w:rFonts w:ascii="Tahoma" w:hAnsi="Tahoma" w:cs="Tahoma"/>
          <w:sz w:val="20"/>
          <w:szCs w:val="20"/>
        </w:rPr>
        <w:t xml:space="preserve"> </w:t>
      </w:r>
      <w:r w:rsidR="009D2146">
        <w:rPr>
          <w:rFonts w:ascii="Tahoma" w:hAnsi="Tahoma" w:cs="Tahoma"/>
          <w:sz w:val="20"/>
          <w:szCs w:val="20"/>
        </w:rPr>
        <w:t>a proposta mais vantajosa</w:t>
      </w:r>
      <w:r w:rsidRPr="003478C6">
        <w:rPr>
          <w:rFonts w:ascii="Tahoma" w:hAnsi="Tahoma" w:cs="Tahoma"/>
          <w:sz w:val="20"/>
          <w:szCs w:val="20"/>
        </w:rPr>
        <w:t xml:space="preserve"> para a Administração.</w:t>
      </w:r>
    </w:p>
    <w:p w14:paraId="09900D5B" w14:textId="659D7533" w:rsidR="00055FC6" w:rsidRDefault="003478C6" w:rsidP="00055FC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3478C6">
        <w:rPr>
          <w:rFonts w:ascii="Tahoma" w:hAnsi="Tahoma" w:cs="Tahoma"/>
          <w:sz w:val="20"/>
          <w:szCs w:val="20"/>
        </w:rPr>
        <w:lastRenderedPageBreak/>
        <w:t xml:space="preserve">Isso, contudo, não importa dizer que a proposta </w:t>
      </w:r>
      <w:r w:rsidR="000B5BCD">
        <w:rPr>
          <w:rFonts w:ascii="Tahoma" w:hAnsi="Tahoma" w:cs="Tahoma"/>
          <w:sz w:val="20"/>
          <w:szCs w:val="20"/>
        </w:rPr>
        <w:t>ofertada com taxa negativa</w:t>
      </w:r>
      <w:r w:rsidRPr="003478C6">
        <w:rPr>
          <w:rFonts w:ascii="Tahoma" w:hAnsi="Tahoma" w:cs="Tahoma"/>
          <w:sz w:val="20"/>
          <w:szCs w:val="20"/>
        </w:rPr>
        <w:t xml:space="preserve"> seja inexequível</w:t>
      </w:r>
      <w:r w:rsidR="000B5BCD">
        <w:rPr>
          <w:rFonts w:ascii="Tahoma" w:hAnsi="Tahoma" w:cs="Tahoma"/>
          <w:sz w:val="20"/>
          <w:szCs w:val="20"/>
        </w:rPr>
        <w:t xml:space="preserve"> e nem mesmo que as empresas oper</w:t>
      </w:r>
      <w:r w:rsidR="004E2570">
        <w:rPr>
          <w:rFonts w:ascii="Tahoma" w:hAnsi="Tahoma" w:cs="Tahoma"/>
          <w:sz w:val="20"/>
          <w:szCs w:val="20"/>
        </w:rPr>
        <w:t>e</w:t>
      </w:r>
      <w:r w:rsidR="000B5BCD">
        <w:rPr>
          <w:rFonts w:ascii="Tahoma" w:hAnsi="Tahoma" w:cs="Tahoma"/>
          <w:sz w:val="20"/>
          <w:szCs w:val="20"/>
        </w:rPr>
        <w:t>m em prejuízo,</w:t>
      </w:r>
      <w:r w:rsidRPr="003478C6">
        <w:rPr>
          <w:rFonts w:ascii="Tahoma" w:hAnsi="Tahoma" w:cs="Tahoma"/>
          <w:sz w:val="20"/>
          <w:szCs w:val="20"/>
        </w:rPr>
        <w:t xml:space="preserve"> já que as empresas que gerenciam tais cartões possuem outras formas de auferir lucros durante a execução do contrato, como, por exemplo, </w:t>
      </w:r>
      <w:r w:rsidR="00055FC6" w:rsidRPr="00055FC6">
        <w:rPr>
          <w:rFonts w:ascii="Tahoma" w:hAnsi="Tahoma" w:cs="Tahoma"/>
          <w:sz w:val="20"/>
          <w:szCs w:val="20"/>
        </w:rPr>
        <w:t xml:space="preserve">a Taxa de Administração cobrada dos estabelecimentos, Taxa de Antecipação, entre outros serviços agregados. </w:t>
      </w:r>
    </w:p>
    <w:p w14:paraId="77754ED2" w14:textId="23614776" w:rsidR="00055FC6" w:rsidRPr="00055FC6" w:rsidRDefault="00055FC6" w:rsidP="00055FC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055FC6">
        <w:rPr>
          <w:rFonts w:ascii="Tahoma" w:hAnsi="Tahoma" w:cs="Tahoma"/>
          <w:sz w:val="20"/>
          <w:szCs w:val="20"/>
        </w:rPr>
        <w:t xml:space="preserve">Além disso, através do contrato com o órgão público a empresa Contratada tem a possibilidade de ampliar a rede de estabelecimentos credenciados, pois a rede credenciada para o órgão público também é ofertada na prospecção de novos clientes do setor privado, cujos contratos, em regra, são celebrados com Taxa Administrativa 0%, aferindo lucro às empresas fornecedoras do Cartão Alimentação/Refeição. </w:t>
      </w:r>
    </w:p>
    <w:p w14:paraId="290DB7A2" w14:textId="77777777" w:rsidR="003478C6" w:rsidRPr="003478C6" w:rsidRDefault="003478C6" w:rsidP="003478C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3478C6">
        <w:rPr>
          <w:rFonts w:ascii="Tahoma" w:hAnsi="Tahoma" w:cs="Tahoma"/>
          <w:sz w:val="20"/>
          <w:szCs w:val="20"/>
        </w:rPr>
        <w:t xml:space="preserve">Logo, temos que a taxa negativa, além de não importar proposta inexequível, importa desconto à Administração Pública, o que privilegia o orçamento público, já que a Administração Pública está economizando dinheiro público que é gasto com seu pessoal. </w:t>
      </w:r>
    </w:p>
    <w:p w14:paraId="0E4A7BC6" w14:textId="24BE1CA0" w:rsidR="003478C6" w:rsidRDefault="003478C6" w:rsidP="003478C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3478C6">
        <w:rPr>
          <w:rFonts w:ascii="Tahoma" w:hAnsi="Tahoma" w:cs="Tahoma"/>
          <w:sz w:val="20"/>
          <w:szCs w:val="20"/>
        </w:rPr>
        <w:t xml:space="preserve">Nesse sentido, temos privilegiado também </w:t>
      </w:r>
      <w:r w:rsidR="00AA62BF">
        <w:rPr>
          <w:rFonts w:ascii="Tahoma" w:hAnsi="Tahoma" w:cs="Tahoma"/>
          <w:sz w:val="20"/>
          <w:szCs w:val="20"/>
        </w:rPr>
        <w:t xml:space="preserve">o </w:t>
      </w:r>
      <w:r w:rsidRPr="003478C6">
        <w:rPr>
          <w:rFonts w:ascii="Tahoma" w:hAnsi="Tahoma" w:cs="Tahoma"/>
          <w:sz w:val="20"/>
          <w:szCs w:val="20"/>
        </w:rPr>
        <w:t xml:space="preserve">princípio da economicidade, inerente às contratações públicas, que tem como finalidade precípua o resguardo dos cofres públicos, devendo a Administração buscar sempre economizar o máximo ao realizar suas contratações. </w:t>
      </w:r>
    </w:p>
    <w:p w14:paraId="5A7B1E10" w14:textId="2C5CE764" w:rsidR="003478C6" w:rsidRPr="003478C6" w:rsidRDefault="003478C6" w:rsidP="003478C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3478C6">
        <w:rPr>
          <w:rFonts w:ascii="Tahoma" w:hAnsi="Tahoma" w:cs="Tahoma"/>
          <w:sz w:val="20"/>
          <w:szCs w:val="20"/>
        </w:rPr>
        <w:t xml:space="preserve">Ademais, como já é possível deduzir, sem que seja possível a oferta de taxas negativas </w:t>
      </w:r>
      <w:r w:rsidR="001F3083" w:rsidRPr="001F3083">
        <w:rPr>
          <w:rFonts w:ascii="Tahoma" w:hAnsi="Tahoma" w:cs="Tahoma"/>
          <w:sz w:val="20"/>
          <w:szCs w:val="20"/>
        </w:rPr>
        <w:t>não se estaria buscando a seleção da proposta apta a gerar o resultado de contratação mais vantajoso para a Administração Pública</w:t>
      </w:r>
      <w:r w:rsidR="001F3083">
        <w:rPr>
          <w:rFonts w:ascii="Tahoma" w:hAnsi="Tahoma" w:cs="Tahoma"/>
          <w:sz w:val="20"/>
          <w:szCs w:val="20"/>
        </w:rPr>
        <w:t xml:space="preserve"> para a qual destina-se o processo licitatório,</w:t>
      </w:r>
      <w:r w:rsidRPr="003478C6">
        <w:rPr>
          <w:rFonts w:ascii="Tahoma" w:hAnsi="Tahoma" w:cs="Tahoma"/>
          <w:sz w:val="20"/>
          <w:szCs w:val="20"/>
        </w:rPr>
        <w:t xml:space="preserve"> já que a contratação sem taxas negativas não leva nenhuma vantagem à Administração. </w:t>
      </w:r>
    </w:p>
    <w:p w14:paraId="403D426D" w14:textId="77777777" w:rsidR="003478C6" w:rsidRPr="003478C6" w:rsidRDefault="003478C6" w:rsidP="003478C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3478C6">
        <w:rPr>
          <w:rFonts w:ascii="Tahoma" w:hAnsi="Tahoma" w:cs="Tahoma"/>
          <w:sz w:val="20"/>
          <w:szCs w:val="20"/>
        </w:rPr>
        <w:t xml:space="preserve">Sobre a busca pela proposta mais vantajosa, o Nobre Doutrinador Marçal </w:t>
      </w:r>
      <w:proofErr w:type="spellStart"/>
      <w:r w:rsidRPr="003478C6">
        <w:rPr>
          <w:rFonts w:ascii="Tahoma" w:hAnsi="Tahoma" w:cs="Tahoma"/>
          <w:sz w:val="20"/>
          <w:szCs w:val="20"/>
        </w:rPr>
        <w:t>Justen</w:t>
      </w:r>
      <w:proofErr w:type="spellEnd"/>
      <w:r w:rsidRPr="003478C6">
        <w:rPr>
          <w:rFonts w:ascii="Tahoma" w:hAnsi="Tahoma" w:cs="Tahoma"/>
          <w:sz w:val="20"/>
          <w:szCs w:val="20"/>
        </w:rPr>
        <w:t xml:space="preserve"> Filho, que nos ensina: </w:t>
      </w:r>
    </w:p>
    <w:p w14:paraId="1835272A" w14:textId="34880A49" w:rsidR="003478C6" w:rsidRDefault="003478C6" w:rsidP="000B5BCD">
      <w:pPr>
        <w:widowControl w:val="0"/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ahoma" w:hAnsi="Tahoma" w:cs="Tahoma"/>
          <w:i/>
          <w:iCs/>
          <w:sz w:val="20"/>
          <w:szCs w:val="20"/>
        </w:rPr>
      </w:pPr>
      <w:r w:rsidRPr="003478C6">
        <w:rPr>
          <w:rFonts w:ascii="Tahoma" w:hAnsi="Tahoma" w:cs="Tahoma"/>
          <w:i/>
          <w:iCs/>
          <w:sz w:val="20"/>
          <w:szCs w:val="20"/>
        </w:rPr>
        <w:t xml:space="preserve">A vantagem caracteriza-se como a adequação e satisfação do interesse geral por meio da execução do contrato. A maior vantagem configura-se pela conjugação de dois aspectos inter-relacionados. Um dos ângulos relaciona-se coma prestação a ser executada por parte da Administração, o outro se vincula à prestação a cargo do particular. A maior vantagem apresentasse quando a Administração assumir o dever de realizar a prestação menos onerosa e o particular se obriga a realizar a melhor e mais completa prestação. Configura-se, portanto, uma relação custo-benefício. A maior vantagem corresponde à situação de menor custo e maior benefício para a </w:t>
      </w:r>
      <w:r w:rsidR="00AE7B81">
        <w:rPr>
          <w:rFonts w:ascii="Tahoma" w:hAnsi="Tahoma" w:cs="Tahoma"/>
          <w:i/>
          <w:iCs/>
          <w:sz w:val="20"/>
          <w:szCs w:val="20"/>
        </w:rPr>
        <w:t>A</w:t>
      </w:r>
      <w:r w:rsidRPr="003478C6">
        <w:rPr>
          <w:rFonts w:ascii="Tahoma" w:hAnsi="Tahoma" w:cs="Tahoma"/>
          <w:i/>
          <w:iCs/>
          <w:sz w:val="20"/>
          <w:szCs w:val="20"/>
        </w:rPr>
        <w:t xml:space="preserve">dministração </w:t>
      </w:r>
      <w:r w:rsidR="00AE7B81">
        <w:rPr>
          <w:rFonts w:ascii="Tahoma" w:hAnsi="Tahoma" w:cs="Tahoma"/>
          <w:i/>
          <w:iCs/>
          <w:sz w:val="20"/>
          <w:szCs w:val="20"/>
        </w:rPr>
        <w:t>P</w:t>
      </w:r>
      <w:r w:rsidRPr="003478C6">
        <w:rPr>
          <w:rFonts w:ascii="Tahoma" w:hAnsi="Tahoma" w:cs="Tahoma"/>
          <w:i/>
          <w:iCs/>
          <w:sz w:val="20"/>
          <w:szCs w:val="20"/>
        </w:rPr>
        <w:t>ública.</w:t>
      </w:r>
    </w:p>
    <w:p w14:paraId="4A9D60E9" w14:textId="77777777" w:rsidR="001F3083" w:rsidRDefault="001F3083" w:rsidP="000B5BCD">
      <w:pPr>
        <w:widowControl w:val="0"/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ahoma" w:hAnsi="Tahoma" w:cs="Tahoma"/>
          <w:i/>
          <w:iCs/>
          <w:sz w:val="20"/>
          <w:szCs w:val="20"/>
        </w:rPr>
      </w:pPr>
    </w:p>
    <w:p w14:paraId="2281372C" w14:textId="570E9432" w:rsidR="00055FC6" w:rsidRPr="00055FC6" w:rsidRDefault="00055FC6" w:rsidP="00055FC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055FC6">
        <w:rPr>
          <w:rFonts w:ascii="Tahoma" w:hAnsi="Tahoma" w:cs="Tahoma"/>
          <w:sz w:val="20"/>
          <w:szCs w:val="20"/>
        </w:rPr>
        <w:t xml:space="preserve">Isto porque, na medida em que o Edital proíbe a </w:t>
      </w:r>
      <w:r w:rsidR="00AA62BF">
        <w:rPr>
          <w:rFonts w:ascii="Tahoma" w:hAnsi="Tahoma" w:cs="Tahoma"/>
          <w:sz w:val="20"/>
          <w:szCs w:val="20"/>
        </w:rPr>
        <w:t>t</w:t>
      </w:r>
      <w:r w:rsidRPr="00055FC6">
        <w:rPr>
          <w:rFonts w:ascii="Tahoma" w:hAnsi="Tahoma" w:cs="Tahoma"/>
          <w:sz w:val="20"/>
          <w:szCs w:val="20"/>
        </w:rPr>
        <w:t xml:space="preserve">axa </w:t>
      </w:r>
      <w:r w:rsidR="00AA62BF">
        <w:rPr>
          <w:rFonts w:ascii="Tahoma" w:hAnsi="Tahoma" w:cs="Tahoma"/>
          <w:sz w:val="20"/>
          <w:szCs w:val="20"/>
        </w:rPr>
        <w:t>n</w:t>
      </w:r>
      <w:r w:rsidRPr="00055FC6">
        <w:rPr>
          <w:rFonts w:ascii="Tahoma" w:hAnsi="Tahoma" w:cs="Tahoma"/>
          <w:sz w:val="20"/>
          <w:szCs w:val="20"/>
        </w:rPr>
        <w:t xml:space="preserve">egativa, impede que a </w:t>
      </w:r>
      <w:r w:rsidR="00AA62BF">
        <w:rPr>
          <w:rFonts w:ascii="Tahoma" w:hAnsi="Tahoma" w:cs="Tahoma"/>
          <w:sz w:val="20"/>
          <w:szCs w:val="20"/>
        </w:rPr>
        <w:t>Administração</w:t>
      </w:r>
      <w:r w:rsidRPr="00055FC6">
        <w:rPr>
          <w:rFonts w:ascii="Tahoma" w:hAnsi="Tahoma" w:cs="Tahoma"/>
          <w:sz w:val="20"/>
          <w:szCs w:val="20"/>
        </w:rPr>
        <w:t xml:space="preserve"> se beneficie de significativa economia aos cofres públicos, que poderia ser obtida ao selecionar a proposta com desconto sobre o valor dos créditos. </w:t>
      </w:r>
    </w:p>
    <w:p w14:paraId="426BA3B0" w14:textId="77777777" w:rsidR="00AA62BF" w:rsidRDefault="00AA62BF" w:rsidP="00772C9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Mas não é só isso.</w:t>
      </w:r>
    </w:p>
    <w:p w14:paraId="6D404031" w14:textId="1BA5CB0E" w:rsidR="00772C92" w:rsidRPr="00772C92" w:rsidRDefault="00772C92" w:rsidP="00772C9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772C92">
        <w:rPr>
          <w:rFonts w:ascii="Tahoma" w:hAnsi="Tahoma" w:cs="Tahoma"/>
          <w:sz w:val="20"/>
          <w:szCs w:val="20"/>
        </w:rPr>
        <w:t xml:space="preserve">A </w:t>
      </w:r>
      <w:r w:rsidR="00EF3A46">
        <w:rPr>
          <w:rFonts w:ascii="Tahoma" w:hAnsi="Tahoma" w:cs="Tahoma"/>
          <w:sz w:val="20"/>
          <w:szCs w:val="20"/>
        </w:rPr>
        <w:t xml:space="preserve">impugnante busca a </w:t>
      </w:r>
      <w:r w:rsidRPr="00772C92">
        <w:rPr>
          <w:rFonts w:ascii="Tahoma" w:hAnsi="Tahoma" w:cs="Tahoma"/>
          <w:sz w:val="20"/>
          <w:szCs w:val="20"/>
        </w:rPr>
        <w:t xml:space="preserve">vedação de taxas negativas </w:t>
      </w:r>
      <w:r w:rsidR="00EF3A46">
        <w:rPr>
          <w:rFonts w:ascii="Tahoma" w:hAnsi="Tahoma" w:cs="Tahoma"/>
          <w:sz w:val="20"/>
          <w:szCs w:val="20"/>
        </w:rPr>
        <w:t>evocando o Decreto nº 12.712/2025</w:t>
      </w:r>
      <w:r w:rsidRPr="00772C92">
        <w:rPr>
          <w:rFonts w:ascii="Tahoma" w:hAnsi="Tahoma" w:cs="Tahoma"/>
          <w:sz w:val="20"/>
          <w:szCs w:val="20"/>
        </w:rPr>
        <w:t xml:space="preserve"> </w:t>
      </w:r>
      <w:r w:rsidR="00EF3A46">
        <w:rPr>
          <w:rFonts w:ascii="Tahoma" w:hAnsi="Tahoma" w:cs="Tahoma"/>
          <w:sz w:val="20"/>
          <w:szCs w:val="20"/>
        </w:rPr>
        <w:t xml:space="preserve">que </w:t>
      </w:r>
      <w:r w:rsidR="00EF3A46" w:rsidRPr="00EF3A46">
        <w:rPr>
          <w:rFonts w:ascii="Tahoma" w:hAnsi="Tahoma" w:cs="Tahoma"/>
          <w:sz w:val="20"/>
          <w:szCs w:val="20"/>
        </w:rPr>
        <w:t>disp</w:t>
      </w:r>
      <w:r w:rsidR="00EF3A46">
        <w:rPr>
          <w:rFonts w:ascii="Tahoma" w:hAnsi="Tahoma" w:cs="Tahoma"/>
          <w:sz w:val="20"/>
          <w:szCs w:val="20"/>
        </w:rPr>
        <w:t>õe</w:t>
      </w:r>
      <w:r w:rsidR="00EF3A46" w:rsidRPr="00EF3A46">
        <w:rPr>
          <w:rFonts w:ascii="Tahoma" w:hAnsi="Tahoma" w:cs="Tahoma"/>
          <w:sz w:val="20"/>
          <w:szCs w:val="20"/>
        </w:rPr>
        <w:t xml:space="preserve"> sobre o Programa de Alimentação do Trabalhador e estabelec</w:t>
      </w:r>
      <w:r w:rsidR="00EF3A46">
        <w:rPr>
          <w:rFonts w:ascii="Tahoma" w:hAnsi="Tahoma" w:cs="Tahoma"/>
          <w:sz w:val="20"/>
          <w:szCs w:val="20"/>
        </w:rPr>
        <w:t>e</w:t>
      </w:r>
      <w:r w:rsidR="00EF3A46" w:rsidRPr="00EF3A46">
        <w:rPr>
          <w:rFonts w:ascii="Tahoma" w:hAnsi="Tahoma" w:cs="Tahoma"/>
          <w:sz w:val="20"/>
          <w:szCs w:val="20"/>
        </w:rPr>
        <w:t xml:space="preserve"> parâmetros e condições aplicáveis às modalidades de auxílio-refeição e auxílio-alimentação, nos termos do disposto na Lei nº 14.442, de 2 de setembro de 2022</w:t>
      </w:r>
      <w:r w:rsidRPr="00772C92">
        <w:rPr>
          <w:rFonts w:ascii="Tahoma" w:hAnsi="Tahoma" w:cs="Tahoma"/>
          <w:sz w:val="20"/>
          <w:szCs w:val="20"/>
        </w:rPr>
        <w:t xml:space="preserve">. </w:t>
      </w:r>
    </w:p>
    <w:p w14:paraId="54EB948E" w14:textId="77777777" w:rsidR="00772C92" w:rsidRPr="00772C92" w:rsidRDefault="00772C92" w:rsidP="00772C9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772C92">
        <w:rPr>
          <w:rFonts w:ascii="Tahoma" w:hAnsi="Tahoma" w:cs="Tahoma"/>
          <w:sz w:val="20"/>
          <w:szCs w:val="20"/>
        </w:rPr>
        <w:t xml:space="preserve">Em seu art. 3º, a Lei nº. 14.442/2022 estabelece que: </w:t>
      </w:r>
    </w:p>
    <w:p w14:paraId="6CAEF60E" w14:textId="77777777" w:rsidR="00772C92" w:rsidRPr="00772C92" w:rsidRDefault="00772C92" w:rsidP="00772C9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772C92">
        <w:rPr>
          <w:rFonts w:ascii="Tahoma" w:hAnsi="Tahoma" w:cs="Tahoma"/>
          <w:i/>
          <w:iCs/>
          <w:sz w:val="20"/>
          <w:szCs w:val="20"/>
        </w:rPr>
        <w:t xml:space="preserve">Art. 3º O empregador, ao contratar pessoa jurídica para o fornecimento do auxílio-alimentação de que trata o art. 2º desta Lei, não poderá exigir ou receber: </w:t>
      </w:r>
    </w:p>
    <w:p w14:paraId="0F227B90" w14:textId="77777777" w:rsidR="00772C92" w:rsidRDefault="00772C92" w:rsidP="00772C9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i/>
          <w:iCs/>
          <w:sz w:val="20"/>
          <w:szCs w:val="20"/>
        </w:rPr>
      </w:pPr>
      <w:r w:rsidRPr="00772C92">
        <w:rPr>
          <w:rFonts w:ascii="Tahoma" w:hAnsi="Tahoma" w:cs="Tahoma"/>
          <w:i/>
          <w:iCs/>
          <w:sz w:val="20"/>
          <w:szCs w:val="20"/>
        </w:rPr>
        <w:t xml:space="preserve">I - qualquer tipo de deságio ou imposição de descontos sobre o valor contratado; </w:t>
      </w:r>
    </w:p>
    <w:p w14:paraId="38EAFC2F" w14:textId="2174E737" w:rsidR="00772C92" w:rsidRPr="00772C92" w:rsidRDefault="00772C92" w:rsidP="00772C9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772C92">
        <w:rPr>
          <w:rFonts w:ascii="Tahoma" w:hAnsi="Tahoma" w:cs="Tahoma"/>
          <w:sz w:val="20"/>
          <w:szCs w:val="20"/>
        </w:rPr>
        <w:t xml:space="preserve">Contudo, como é possível extrair do próprio diploma legal, </w:t>
      </w:r>
      <w:r w:rsidR="00E33C2E" w:rsidRPr="00772C92">
        <w:rPr>
          <w:rFonts w:ascii="Tahoma" w:hAnsi="Tahoma" w:cs="Tahoma"/>
          <w:sz w:val="20"/>
          <w:szCs w:val="20"/>
        </w:rPr>
        <w:t xml:space="preserve">que foi promulgado para alterar a </w:t>
      </w:r>
      <w:r w:rsidR="00E33C2E">
        <w:rPr>
          <w:rFonts w:ascii="Tahoma" w:hAnsi="Tahoma" w:cs="Tahoma"/>
          <w:sz w:val="20"/>
          <w:szCs w:val="20"/>
        </w:rPr>
        <w:t>CLT</w:t>
      </w:r>
      <w:r w:rsidR="00E33C2E" w:rsidRPr="00772C92">
        <w:rPr>
          <w:rFonts w:ascii="Tahoma" w:hAnsi="Tahoma" w:cs="Tahoma"/>
          <w:sz w:val="20"/>
          <w:szCs w:val="20"/>
        </w:rPr>
        <w:t>, não pode</w:t>
      </w:r>
      <w:r w:rsidR="00E33C2E">
        <w:rPr>
          <w:rFonts w:ascii="Tahoma" w:hAnsi="Tahoma" w:cs="Tahoma"/>
          <w:sz w:val="20"/>
          <w:szCs w:val="20"/>
        </w:rPr>
        <w:t xml:space="preserve"> </w:t>
      </w:r>
      <w:r w:rsidR="00E33C2E" w:rsidRPr="00772C92">
        <w:rPr>
          <w:rFonts w:ascii="Tahoma" w:hAnsi="Tahoma" w:cs="Tahoma"/>
          <w:sz w:val="20"/>
          <w:szCs w:val="20"/>
        </w:rPr>
        <w:t>ser aplicado ao funcionalismo público.</w:t>
      </w:r>
      <w:r w:rsidR="00E33C2E" w:rsidRPr="00772C92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9D96BBF" w14:textId="0CC0BEEB" w:rsidR="00772C92" w:rsidRDefault="00772C92" w:rsidP="00772C9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772C92">
        <w:rPr>
          <w:rFonts w:ascii="Tahoma" w:hAnsi="Tahoma" w:cs="Tahoma"/>
          <w:sz w:val="20"/>
          <w:szCs w:val="20"/>
        </w:rPr>
        <w:t>Isto porque é óbvio que as disposições aplicáveis ao</w:t>
      </w:r>
      <w:r w:rsidR="00E638FB">
        <w:rPr>
          <w:rFonts w:ascii="Tahoma" w:hAnsi="Tahoma" w:cs="Tahoma"/>
          <w:sz w:val="20"/>
          <w:szCs w:val="20"/>
        </w:rPr>
        <w:t xml:space="preserve">s empregos, cujo vínculo se dá aplicação da </w:t>
      </w:r>
      <w:r w:rsidRPr="00772C92">
        <w:rPr>
          <w:rFonts w:ascii="Tahoma" w:hAnsi="Tahoma" w:cs="Tahoma"/>
          <w:sz w:val="20"/>
          <w:szCs w:val="20"/>
        </w:rPr>
        <w:t xml:space="preserve">CLT, </w:t>
      </w:r>
      <w:r w:rsidR="00E638FB">
        <w:rPr>
          <w:rFonts w:ascii="Tahoma" w:hAnsi="Tahoma" w:cs="Tahoma"/>
          <w:sz w:val="20"/>
          <w:szCs w:val="20"/>
        </w:rPr>
        <w:t xml:space="preserve">não se aplica, sequer de forma subsidiária aos servidores públicos </w:t>
      </w:r>
      <w:r w:rsidR="007F51E0">
        <w:rPr>
          <w:rFonts w:ascii="Tahoma" w:hAnsi="Tahoma" w:cs="Tahoma"/>
          <w:sz w:val="20"/>
          <w:szCs w:val="20"/>
        </w:rPr>
        <w:t>detentores</w:t>
      </w:r>
      <w:r w:rsidR="00E638FB">
        <w:rPr>
          <w:rFonts w:ascii="Tahoma" w:hAnsi="Tahoma" w:cs="Tahoma"/>
          <w:sz w:val="20"/>
          <w:szCs w:val="20"/>
        </w:rPr>
        <w:t xml:space="preserve"> de cargos de provimento efetivo onde o liame jurídico á a lei editada por cada ente.  A propósito, compete ao Município, a exemplo dos demais entes integrantes da Federação Brasileira, legislar sobre direito e deveres dos seus servidores, nos termos do art. 39 da Constituição Federal.</w:t>
      </w:r>
    </w:p>
    <w:p w14:paraId="3007E21B" w14:textId="1A663FCE" w:rsidR="00E638FB" w:rsidRDefault="00E638FB" w:rsidP="00772C9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Nada obstante, o Tribunal de Contas do Estado do Paraná já teve a oportunidade de se debruçar sobre a questão, no</w:t>
      </w:r>
      <w:r w:rsidRPr="00E638F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 w:rsidRPr="00E638FB">
        <w:rPr>
          <w:rFonts w:ascii="Tahoma" w:hAnsi="Tahoma" w:cs="Tahoma"/>
          <w:sz w:val="20"/>
          <w:szCs w:val="20"/>
        </w:rPr>
        <w:t xml:space="preserve">córdão nº 3337/24 – Tribunal Pleno do TCE-PR (Consulta nº 609796/23) </w:t>
      </w:r>
      <w:r>
        <w:rPr>
          <w:rFonts w:ascii="Tahoma" w:hAnsi="Tahoma" w:cs="Tahoma"/>
          <w:sz w:val="20"/>
          <w:szCs w:val="20"/>
        </w:rPr>
        <w:t xml:space="preserve">dispondo que </w:t>
      </w:r>
      <w:r w:rsidRPr="00E638FB">
        <w:rPr>
          <w:rFonts w:ascii="Tahoma" w:hAnsi="Tahoma" w:cs="Tahoma"/>
          <w:sz w:val="20"/>
          <w:szCs w:val="20"/>
        </w:rPr>
        <w:t>a vedação à aceitação de taxas de administração negativas em licitações para a contratação de pessoas jurídicas para o gerenciamento e fornecimento de auxílio-alimentação por meio de cartões ou instrumentos congêneres – artigo 3°, I e III, da Lei n° 14.442/22 – aplica-se apenas aos órgãos e entidades da administração pública cujo quadro de pessoal seja formado por empregados públicos, submetidos ao regime celetista, conforme entendimento fixado pelo Prejulgado nº 34 do TCE-PR.</w:t>
      </w:r>
    </w:p>
    <w:p w14:paraId="24175B10" w14:textId="7220ADEE" w:rsidR="00772C92" w:rsidRPr="00772C92" w:rsidRDefault="00772C92" w:rsidP="00772C9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772C92">
        <w:rPr>
          <w:rFonts w:ascii="Tahoma" w:hAnsi="Tahoma" w:cs="Tahoma"/>
          <w:sz w:val="20"/>
          <w:szCs w:val="20"/>
        </w:rPr>
        <w:t xml:space="preserve"> </w:t>
      </w:r>
      <w:r w:rsidR="00E638FB">
        <w:rPr>
          <w:rFonts w:ascii="Tahoma" w:hAnsi="Tahoma" w:cs="Tahoma"/>
          <w:sz w:val="20"/>
          <w:szCs w:val="20"/>
        </w:rPr>
        <w:t>E, no caso do Município de Nova Bassano, o objeto licitado será em benefício de servidores estatutários, apenas.</w:t>
      </w:r>
    </w:p>
    <w:p w14:paraId="5047E00F" w14:textId="2F0D3541" w:rsidR="00772C92" w:rsidRPr="00E33C2E" w:rsidRDefault="00772C92" w:rsidP="00772C9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772C92">
        <w:rPr>
          <w:rFonts w:ascii="Tahoma" w:hAnsi="Tahoma" w:cs="Tahoma"/>
          <w:sz w:val="20"/>
          <w:szCs w:val="20"/>
        </w:rPr>
        <w:t>Ademais, é importante salientar de forma veemente que a taxa negativa no mercado de vale alimentação/refeição não significa, de maneira alguma, que o serviço não será prestado com a eficiência que se espera</w:t>
      </w:r>
      <w:r w:rsidRPr="00E33C2E">
        <w:rPr>
          <w:rFonts w:ascii="Tahoma" w:hAnsi="Tahoma" w:cs="Tahoma"/>
          <w:sz w:val="20"/>
          <w:szCs w:val="20"/>
        </w:rPr>
        <w:t>, já que, como dito anteriormente, as empresas possuem diversas outras formas para auferir lucros durante a execução contratual, além de sempre poderem expandir o seu mercado de atuação.</w:t>
      </w:r>
    </w:p>
    <w:p w14:paraId="7C8DEC90" w14:textId="103A4A8A" w:rsidR="00772C92" w:rsidRDefault="00772C92" w:rsidP="00772C9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772C92">
        <w:rPr>
          <w:rFonts w:ascii="Tahoma" w:hAnsi="Tahoma" w:cs="Tahoma"/>
          <w:sz w:val="20"/>
          <w:szCs w:val="20"/>
        </w:rPr>
        <w:t>Portanto, diante de tudo o que foi exposto acima, fica nítido que as disposições contidas na Lei nº. 14.442/2022 não pode</w:t>
      </w:r>
      <w:r w:rsidR="009A4536">
        <w:rPr>
          <w:rFonts w:ascii="Tahoma" w:hAnsi="Tahoma" w:cs="Tahoma"/>
          <w:sz w:val="20"/>
          <w:szCs w:val="20"/>
        </w:rPr>
        <w:t>m</w:t>
      </w:r>
      <w:r w:rsidRPr="00772C92">
        <w:rPr>
          <w:rFonts w:ascii="Tahoma" w:hAnsi="Tahoma" w:cs="Tahoma"/>
          <w:sz w:val="20"/>
          <w:szCs w:val="20"/>
        </w:rPr>
        <w:t xml:space="preserve"> servir como base para determinar a vedação de taxas negativas no setor público, já que é objetivo intrínseco da Administração Pública economizar nas suas contratações e permitir a competitividade entre as empresas, o que não é possível no caso de vedação a taxas negativas.</w:t>
      </w:r>
    </w:p>
    <w:p w14:paraId="041654B2" w14:textId="2BFF6FA3" w:rsidR="009A4536" w:rsidRDefault="009A4536" w:rsidP="00B04622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Já em relação à menção de exigência de comprovação de rede credenciada na Habilitação, consta no edital:</w:t>
      </w:r>
    </w:p>
    <w:p w14:paraId="5B0C22F6" w14:textId="77777777" w:rsidR="009A4536" w:rsidRPr="00087DF3" w:rsidRDefault="009A4536" w:rsidP="00087DF3">
      <w:pPr>
        <w:spacing w:after="120"/>
        <w:jc w:val="both"/>
        <w:rPr>
          <w:rFonts w:ascii="Tahoma" w:hAnsi="Tahoma" w:cs="Tahoma"/>
          <w:b/>
          <w:bCs/>
          <w:i/>
          <w:iCs/>
          <w:sz w:val="19"/>
          <w:szCs w:val="19"/>
          <w:u w:val="single"/>
        </w:rPr>
      </w:pPr>
      <w:r w:rsidRPr="00087DF3">
        <w:rPr>
          <w:rFonts w:ascii="Tahoma" w:hAnsi="Tahoma" w:cs="Tahoma"/>
          <w:b/>
          <w:bCs/>
          <w:i/>
          <w:iCs/>
          <w:sz w:val="19"/>
          <w:szCs w:val="19"/>
          <w:u w:val="single"/>
        </w:rPr>
        <w:t xml:space="preserve">9.10. QUALIFICAÇÃO TÉCNICA </w:t>
      </w:r>
      <w:bookmarkStart w:id="0" w:name="_Hlk161651511"/>
    </w:p>
    <w:bookmarkEnd w:id="0"/>
    <w:p w14:paraId="2F0877BE" w14:textId="77777777" w:rsidR="009A4536" w:rsidRPr="00087DF3" w:rsidRDefault="009A4536" w:rsidP="00087DF3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i/>
          <w:iCs/>
          <w:sz w:val="19"/>
          <w:szCs w:val="19"/>
        </w:rPr>
      </w:pPr>
      <w:r w:rsidRPr="00087DF3">
        <w:rPr>
          <w:rFonts w:ascii="Tahoma" w:hAnsi="Tahoma" w:cs="Tahoma"/>
          <w:i/>
          <w:iCs/>
          <w:sz w:val="19"/>
          <w:szCs w:val="19"/>
        </w:rPr>
        <w:lastRenderedPageBreak/>
        <w:t>9.10.2. Comprovação, através de cópias dos devidos contratos ou documento equivalente, que a licitante possui convênio em estabelecimentos comerciais fornecedores de produtos alimentícios (padarias, lancherias, mercados, supermercados, restaurantes, macro atacado, fruteiras...), sendo, no mínimo:</w:t>
      </w:r>
    </w:p>
    <w:p w14:paraId="72E68A1D" w14:textId="77777777" w:rsidR="009A4536" w:rsidRPr="00087DF3" w:rsidRDefault="009A4536" w:rsidP="00087DF3">
      <w:pPr>
        <w:autoSpaceDE w:val="0"/>
        <w:autoSpaceDN w:val="0"/>
        <w:adjustRightInd w:val="0"/>
        <w:spacing w:after="120"/>
        <w:ind w:firstLine="360"/>
        <w:jc w:val="both"/>
        <w:rPr>
          <w:rFonts w:ascii="Tahoma" w:hAnsi="Tahoma" w:cs="Tahoma"/>
          <w:i/>
          <w:iCs/>
          <w:sz w:val="19"/>
          <w:szCs w:val="19"/>
        </w:rPr>
      </w:pPr>
      <w:r w:rsidRPr="00087DF3">
        <w:rPr>
          <w:rFonts w:ascii="Tahoma" w:hAnsi="Tahoma" w:cs="Tahoma"/>
          <w:i/>
          <w:iCs/>
          <w:sz w:val="19"/>
          <w:szCs w:val="19"/>
        </w:rPr>
        <w:t xml:space="preserve">a) </w:t>
      </w:r>
      <w:r w:rsidRPr="00087DF3">
        <w:rPr>
          <w:rFonts w:ascii="Tahoma" w:hAnsi="Tahoma" w:cs="Tahoma"/>
          <w:i/>
          <w:iCs/>
          <w:sz w:val="19"/>
          <w:szCs w:val="19"/>
          <w:u w:val="single"/>
        </w:rPr>
        <w:t>10 (dez) estabelecimentos</w:t>
      </w:r>
      <w:r w:rsidRPr="00087DF3">
        <w:rPr>
          <w:rFonts w:ascii="Tahoma" w:hAnsi="Tahoma" w:cs="Tahoma"/>
          <w:i/>
          <w:iCs/>
          <w:sz w:val="19"/>
          <w:szCs w:val="19"/>
        </w:rPr>
        <w:t xml:space="preserve"> comerciais credenciados no município de Nova Bassano/RS; </w:t>
      </w:r>
    </w:p>
    <w:p w14:paraId="114D6F6D" w14:textId="77777777" w:rsidR="009A4536" w:rsidRDefault="009A4536" w:rsidP="00087DF3">
      <w:pPr>
        <w:autoSpaceDE w:val="0"/>
        <w:autoSpaceDN w:val="0"/>
        <w:adjustRightInd w:val="0"/>
        <w:spacing w:after="120"/>
        <w:ind w:firstLine="360"/>
        <w:jc w:val="both"/>
        <w:rPr>
          <w:rFonts w:ascii="Tahoma" w:hAnsi="Tahoma" w:cs="Tahoma"/>
          <w:i/>
          <w:iCs/>
          <w:sz w:val="19"/>
          <w:szCs w:val="19"/>
        </w:rPr>
      </w:pPr>
      <w:r w:rsidRPr="00087DF3">
        <w:rPr>
          <w:rFonts w:ascii="Tahoma" w:hAnsi="Tahoma" w:cs="Tahoma"/>
          <w:i/>
          <w:iCs/>
          <w:sz w:val="19"/>
          <w:szCs w:val="19"/>
        </w:rPr>
        <w:t>b)</w:t>
      </w:r>
      <w:r w:rsidRPr="00087DF3">
        <w:rPr>
          <w:rFonts w:ascii="Tahoma" w:hAnsi="Tahoma" w:cs="Tahoma"/>
          <w:b/>
          <w:i/>
          <w:iCs/>
          <w:sz w:val="19"/>
          <w:szCs w:val="19"/>
        </w:rPr>
        <w:t xml:space="preserve"> </w:t>
      </w:r>
      <w:r w:rsidRPr="00087DF3">
        <w:rPr>
          <w:rFonts w:ascii="Tahoma" w:hAnsi="Tahoma" w:cs="Tahoma"/>
          <w:i/>
          <w:iCs/>
          <w:sz w:val="19"/>
          <w:szCs w:val="19"/>
        </w:rPr>
        <w:t xml:space="preserve">Na Microrregião compreendendo os Municípios de Paraí, Veranópolis, Nova Prata, Nova Araçá, Serafina Corrêa: </w:t>
      </w:r>
      <w:r w:rsidRPr="00087DF3">
        <w:rPr>
          <w:rFonts w:ascii="Tahoma" w:hAnsi="Tahoma" w:cs="Tahoma"/>
          <w:i/>
          <w:iCs/>
          <w:sz w:val="19"/>
          <w:szCs w:val="19"/>
          <w:u w:val="single"/>
        </w:rPr>
        <w:t>02 (dois) estabelecimentos</w:t>
      </w:r>
      <w:r w:rsidRPr="00087DF3">
        <w:rPr>
          <w:rFonts w:ascii="Tahoma" w:hAnsi="Tahoma" w:cs="Tahoma"/>
          <w:i/>
          <w:iCs/>
          <w:sz w:val="19"/>
          <w:szCs w:val="19"/>
        </w:rPr>
        <w:t xml:space="preserve"> em cada município citado. </w:t>
      </w:r>
    </w:p>
    <w:p w14:paraId="66C7B100" w14:textId="23D4274E" w:rsidR="009A4536" w:rsidRDefault="009A4536" w:rsidP="009A4536">
      <w:pPr>
        <w:autoSpaceDE w:val="0"/>
        <w:autoSpaceDN w:val="0"/>
        <w:adjustRightInd w:val="0"/>
        <w:ind w:firstLine="36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Logo abaixo, do item 9.10.3, extrai-se:</w:t>
      </w:r>
    </w:p>
    <w:p w14:paraId="160B27CE" w14:textId="5F461333" w:rsidR="009A4536" w:rsidRPr="00087DF3" w:rsidRDefault="009A4536" w:rsidP="009A4536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 w:val="19"/>
          <w:szCs w:val="19"/>
        </w:rPr>
      </w:pPr>
      <w:r w:rsidRPr="00087DF3">
        <w:rPr>
          <w:rFonts w:ascii="Tahoma" w:hAnsi="Tahoma" w:cs="Tahoma"/>
          <w:i/>
          <w:iCs/>
          <w:sz w:val="19"/>
          <w:szCs w:val="19"/>
        </w:rPr>
        <w:t xml:space="preserve">9.10.3. Caso a licitante ainda não possua estabelecimentos credenciados de acordo com o exigido no item 9.10.2, acima, deverá apresentar declaração, sob as penas da lei, </w:t>
      </w:r>
      <w:r w:rsidRPr="00087DF3">
        <w:rPr>
          <w:rFonts w:ascii="Tahoma" w:hAnsi="Tahoma" w:cs="Tahoma"/>
          <w:i/>
          <w:iCs/>
          <w:sz w:val="19"/>
          <w:szCs w:val="19"/>
          <w:u w:val="single"/>
        </w:rPr>
        <w:t>de que se compromete em comprovar, no momento da assinatura do contrato</w:t>
      </w:r>
      <w:r w:rsidRPr="00087DF3">
        <w:rPr>
          <w:rFonts w:ascii="Tahoma" w:hAnsi="Tahoma" w:cs="Tahoma"/>
          <w:i/>
          <w:iCs/>
          <w:sz w:val="19"/>
          <w:szCs w:val="19"/>
        </w:rPr>
        <w:t>, a relação dos estabelecimentos credenciados, nas condições acima exigidas, que aceitem a modalidade de vale- alimentação na forma de cartão.</w:t>
      </w:r>
    </w:p>
    <w:p w14:paraId="2C7CE315" w14:textId="5EB00409" w:rsidR="00B04622" w:rsidRDefault="00761BB5" w:rsidP="00B04622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Logo, não sendo possível que os interessados em participar do certame comprov</w:t>
      </w:r>
      <w:r w:rsidR="00087DF3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m </w:t>
      </w:r>
      <w:r w:rsidR="00B04622" w:rsidRPr="00B04622">
        <w:rPr>
          <w:rFonts w:ascii="Tahoma" w:hAnsi="Tahoma" w:cs="Tahoma"/>
          <w:sz w:val="20"/>
          <w:szCs w:val="20"/>
        </w:rPr>
        <w:t>a rede credenciad</w:t>
      </w:r>
      <w:r>
        <w:rPr>
          <w:rFonts w:ascii="Tahoma" w:hAnsi="Tahoma" w:cs="Tahoma"/>
          <w:sz w:val="20"/>
          <w:szCs w:val="20"/>
        </w:rPr>
        <w:t xml:space="preserve">a no momento da habilitação conforme item 9.10.2, o item 9.10.3 </w:t>
      </w:r>
      <w:r w:rsidR="00087DF3">
        <w:rPr>
          <w:rFonts w:ascii="Tahoma" w:hAnsi="Tahoma" w:cs="Tahoma"/>
          <w:sz w:val="20"/>
          <w:szCs w:val="20"/>
        </w:rPr>
        <w:t>possibilita</w:t>
      </w:r>
      <w:r>
        <w:rPr>
          <w:rFonts w:ascii="Tahoma" w:hAnsi="Tahoma" w:cs="Tahoma"/>
          <w:sz w:val="20"/>
          <w:szCs w:val="20"/>
        </w:rPr>
        <w:t xml:space="preserve"> que apresent</w:t>
      </w:r>
      <w:r w:rsidR="00087DF3">
        <w:rPr>
          <w:rFonts w:ascii="Tahoma" w:hAnsi="Tahoma" w:cs="Tahoma"/>
          <w:sz w:val="20"/>
          <w:szCs w:val="20"/>
        </w:rPr>
        <w:t>em documento declarando que</w:t>
      </w:r>
      <w:r>
        <w:rPr>
          <w:rFonts w:ascii="Tahoma" w:hAnsi="Tahoma" w:cs="Tahoma"/>
          <w:sz w:val="20"/>
          <w:szCs w:val="20"/>
        </w:rPr>
        <w:t xml:space="preserve"> o farão por ocasião da assinatura do contrato, </w:t>
      </w:r>
      <w:r w:rsidR="00087DF3">
        <w:rPr>
          <w:rFonts w:ascii="Tahoma" w:hAnsi="Tahoma" w:cs="Tahoma"/>
          <w:sz w:val="20"/>
          <w:szCs w:val="20"/>
        </w:rPr>
        <w:t>uma vez que</w:t>
      </w:r>
      <w:r>
        <w:rPr>
          <w:rFonts w:ascii="Tahoma" w:hAnsi="Tahoma" w:cs="Tahoma"/>
          <w:sz w:val="20"/>
          <w:szCs w:val="20"/>
        </w:rPr>
        <w:t xml:space="preserve"> a comprovação será condição para assinatura do contrato, conforme consta:</w:t>
      </w:r>
    </w:p>
    <w:p w14:paraId="0CA2B04F" w14:textId="334838FA" w:rsidR="00761BB5" w:rsidRPr="00087DF3" w:rsidRDefault="00AE7B81" w:rsidP="00087DF3">
      <w:pPr>
        <w:spacing w:after="120"/>
        <w:jc w:val="both"/>
        <w:rPr>
          <w:rFonts w:ascii="Tahoma" w:hAnsi="Tahoma" w:cs="Tahoma"/>
          <w:b/>
          <w:bCs/>
          <w:i/>
          <w:iCs/>
          <w:color w:val="FF0000"/>
          <w:sz w:val="19"/>
          <w:szCs w:val="19"/>
        </w:rPr>
      </w:pPr>
      <w:r>
        <w:rPr>
          <w:rFonts w:ascii="Tahoma" w:hAnsi="Tahoma" w:cs="Tahoma"/>
          <w:b/>
          <w:bCs/>
          <w:i/>
          <w:iCs/>
          <w:sz w:val="19"/>
          <w:szCs w:val="19"/>
        </w:rPr>
        <w:t xml:space="preserve">13. </w:t>
      </w:r>
      <w:r w:rsidR="00761BB5" w:rsidRPr="00087DF3">
        <w:rPr>
          <w:rFonts w:ascii="Tahoma" w:hAnsi="Tahoma" w:cs="Tahoma"/>
          <w:b/>
          <w:bCs/>
          <w:i/>
          <w:iCs/>
          <w:sz w:val="19"/>
          <w:szCs w:val="19"/>
        </w:rPr>
        <w:t>DO CONTRATO ADMINISTRATIVO:</w:t>
      </w:r>
    </w:p>
    <w:p w14:paraId="61122481" w14:textId="77777777" w:rsidR="00761BB5" w:rsidRPr="00087DF3" w:rsidRDefault="00761BB5" w:rsidP="00087DF3">
      <w:pPr>
        <w:spacing w:after="120"/>
        <w:jc w:val="both"/>
        <w:rPr>
          <w:rFonts w:ascii="Tahoma" w:hAnsi="Tahoma" w:cs="Tahoma"/>
          <w:i/>
          <w:iCs/>
          <w:sz w:val="19"/>
          <w:szCs w:val="19"/>
        </w:rPr>
      </w:pPr>
      <w:r w:rsidRPr="00087DF3">
        <w:rPr>
          <w:rFonts w:ascii="Tahoma" w:hAnsi="Tahoma" w:cs="Tahoma"/>
          <w:i/>
          <w:iCs/>
          <w:sz w:val="19"/>
          <w:szCs w:val="19"/>
        </w:rPr>
        <w:t>13.3. Como condição para a assinatura do contrato, a vencedora da licitação deverá comprovar:</w:t>
      </w:r>
    </w:p>
    <w:p w14:paraId="100F6253" w14:textId="77777777" w:rsidR="00761BB5" w:rsidRPr="00087DF3" w:rsidRDefault="00761BB5" w:rsidP="00087DF3">
      <w:pPr>
        <w:spacing w:after="120"/>
        <w:jc w:val="both"/>
        <w:rPr>
          <w:rFonts w:ascii="Tahoma" w:hAnsi="Tahoma" w:cs="Tahoma"/>
          <w:i/>
          <w:iCs/>
          <w:sz w:val="19"/>
          <w:szCs w:val="19"/>
        </w:rPr>
      </w:pPr>
      <w:r w:rsidRPr="00087DF3">
        <w:rPr>
          <w:rFonts w:ascii="Tahoma" w:hAnsi="Tahoma" w:cs="Tahoma"/>
          <w:i/>
          <w:iCs/>
          <w:sz w:val="19"/>
          <w:szCs w:val="19"/>
        </w:rPr>
        <w:t>13.3.1. Através de cópias dos devidos contratos ou documento equivalente, que possui convênio em estabelecimentos comerciais fornecedores de produtos alimentícios (padarias, lancherias, mercados, supermercados, restaurantes, macro atacado, fruteiras...), sendo, no mínimo:</w:t>
      </w:r>
    </w:p>
    <w:p w14:paraId="393BCE7D" w14:textId="77777777" w:rsidR="00761BB5" w:rsidRPr="00087DF3" w:rsidRDefault="00761BB5" w:rsidP="00087DF3">
      <w:pPr>
        <w:autoSpaceDE w:val="0"/>
        <w:autoSpaceDN w:val="0"/>
        <w:adjustRightInd w:val="0"/>
        <w:spacing w:after="120"/>
        <w:ind w:firstLine="360"/>
        <w:jc w:val="both"/>
        <w:rPr>
          <w:rFonts w:ascii="Tahoma" w:hAnsi="Tahoma" w:cs="Tahoma"/>
          <w:i/>
          <w:iCs/>
          <w:sz w:val="19"/>
          <w:szCs w:val="19"/>
        </w:rPr>
      </w:pPr>
      <w:r w:rsidRPr="00087DF3">
        <w:rPr>
          <w:rFonts w:ascii="Tahoma" w:hAnsi="Tahoma" w:cs="Tahoma"/>
          <w:i/>
          <w:iCs/>
          <w:sz w:val="19"/>
          <w:szCs w:val="19"/>
        </w:rPr>
        <w:t xml:space="preserve">a) </w:t>
      </w:r>
      <w:r w:rsidRPr="00087DF3">
        <w:rPr>
          <w:rFonts w:ascii="Tahoma" w:hAnsi="Tahoma" w:cs="Tahoma"/>
          <w:i/>
          <w:iCs/>
          <w:sz w:val="19"/>
          <w:szCs w:val="19"/>
          <w:u w:val="single"/>
        </w:rPr>
        <w:t>10 (dez) estabelecimentos</w:t>
      </w:r>
      <w:r w:rsidRPr="00087DF3">
        <w:rPr>
          <w:rFonts w:ascii="Tahoma" w:hAnsi="Tahoma" w:cs="Tahoma"/>
          <w:i/>
          <w:iCs/>
          <w:sz w:val="19"/>
          <w:szCs w:val="19"/>
        </w:rPr>
        <w:t xml:space="preserve"> comerciais credenciados no município de Nova Bassano/RS; </w:t>
      </w:r>
    </w:p>
    <w:p w14:paraId="466D5E10" w14:textId="77777777" w:rsidR="00761BB5" w:rsidRPr="00087DF3" w:rsidRDefault="00761BB5" w:rsidP="00087DF3">
      <w:pPr>
        <w:autoSpaceDE w:val="0"/>
        <w:autoSpaceDN w:val="0"/>
        <w:adjustRightInd w:val="0"/>
        <w:spacing w:after="120"/>
        <w:ind w:firstLine="360"/>
        <w:jc w:val="both"/>
        <w:rPr>
          <w:rFonts w:ascii="Tahoma" w:hAnsi="Tahoma" w:cs="Tahoma"/>
          <w:i/>
          <w:iCs/>
          <w:sz w:val="19"/>
          <w:szCs w:val="19"/>
        </w:rPr>
      </w:pPr>
      <w:r w:rsidRPr="00087DF3">
        <w:rPr>
          <w:rFonts w:ascii="Tahoma" w:hAnsi="Tahoma" w:cs="Tahoma"/>
          <w:i/>
          <w:iCs/>
          <w:sz w:val="19"/>
          <w:szCs w:val="19"/>
        </w:rPr>
        <w:t xml:space="preserve">b) Na Microrregião compreendendo os Municípios de Paraí, Veranópolis, Nova Prata, Nova Araçá, Serafina Corrêa: </w:t>
      </w:r>
      <w:r w:rsidRPr="00087DF3">
        <w:rPr>
          <w:rFonts w:ascii="Tahoma" w:hAnsi="Tahoma" w:cs="Tahoma"/>
          <w:i/>
          <w:iCs/>
          <w:sz w:val="19"/>
          <w:szCs w:val="19"/>
          <w:u w:val="single"/>
        </w:rPr>
        <w:t>02 (dois) estabelecimentos</w:t>
      </w:r>
      <w:r w:rsidRPr="00087DF3">
        <w:rPr>
          <w:rFonts w:ascii="Tahoma" w:hAnsi="Tahoma" w:cs="Tahoma"/>
          <w:i/>
          <w:iCs/>
          <w:sz w:val="19"/>
          <w:szCs w:val="19"/>
        </w:rPr>
        <w:t xml:space="preserve"> em cada município citado. </w:t>
      </w:r>
    </w:p>
    <w:p w14:paraId="0C8D4C72" w14:textId="2F971414" w:rsidR="00087DF3" w:rsidRDefault="00087DF3" w:rsidP="00087DF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Desta forma, entende-se que as exigência</w:t>
      </w:r>
      <w:r w:rsidR="00EE779C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editalícias</w:t>
      </w:r>
      <w:r w:rsidR="00EE779C">
        <w:rPr>
          <w:rFonts w:ascii="Tahoma" w:hAnsi="Tahoma" w:cs="Tahoma"/>
          <w:sz w:val="20"/>
          <w:szCs w:val="20"/>
        </w:rPr>
        <w:t>, em momento algum,</w:t>
      </w:r>
      <w:r>
        <w:rPr>
          <w:rFonts w:ascii="Tahoma" w:hAnsi="Tahoma" w:cs="Tahoma"/>
          <w:sz w:val="20"/>
          <w:szCs w:val="20"/>
        </w:rPr>
        <w:t xml:space="preserve"> frustram ou restringem </w:t>
      </w:r>
      <w:r w:rsidRPr="002F1D1A">
        <w:rPr>
          <w:rFonts w:ascii="Tahoma" w:hAnsi="Tahoma" w:cs="Tahoma"/>
          <w:sz w:val="20"/>
          <w:szCs w:val="20"/>
        </w:rPr>
        <w:t xml:space="preserve">o caráter competitivo do certame </w:t>
      </w:r>
      <w:r>
        <w:rPr>
          <w:rFonts w:ascii="Tahoma" w:hAnsi="Tahoma" w:cs="Tahoma"/>
          <w:sz w:val="20"/>
          <w:szCs w:val="20"/>
        </w:rPr>
        <w:t>comprometendo a lisura e a isonomia do certame</w:t>
      </w:r>
      <w:r w:rsidR="00EE779C">
        <w:rPr>
          <w:rFonts w:ascii="Tahoma" w:hAnsi="Tahoma" w:cs="Tahoma"/>
          <w:sz w:val="20"/>
          <w:szCs w:val="20"/>
        </w:rPr>
        <w:t xml:space="preserve"> como defende a Impugnante.</w:t>
      </w:r>
    </w:p>
    <w:p w14:paraId="43F0EC36" w14:textId="23BA6052" w:rsidR="00761BB5" w:rsidRDefault="00761BB5" w:rsidP="00B04622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ahoma" w:hAnsi="Tahoma" w:cs="Tahoma"/>
          <w:sz w:val="20"/>
          <w:szCs w:val="20"/>
        </w:rPr>
      </w:pPr>
    </w:p>
    <w:p w14:paraId="01F3CE76" w14:textId="6A548504" w:rsidR="00AD4192" w:rsidRPr="009B0C81" w:rsidRDefault="00EE779C" w:rsidP="00EE779C">
      <w:pPr>
        <w:spacing w:after="0" w:line="360" w:lineRule="auto"/>
        <w:ind w:firstLine="708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       </w:t>
      </w:r>
      <w:r w:rsidR="00AD4192" w:rsidRPr="009B0C81">
        <w:rPr>
          <w:rFonts w:ascii="Tahoma" w:hAnsi="Tahoma" w:cs="Tahoma"/>
          <w:b/>
          <w:color w:val="000000" w:themeColor="text1"/>
          <w:sz w:val="20"/>
          <w:szCs w:val="20"/>
        </w:rPr>
        <w:t>Em conclusão</w:t>
      </w:r>
    </w:p>
    <w:p w14:paraId="3CBE3E42" w14:textId="1BA25B0C" w:rsidR="00B04622" w:rsidRPr="00AA62BF" w:rsidRDefault="00B04622" w:rsidP="00EE779C">
      <w:pPr>
        <w:spacing w:after="0" w:line="360" w:lineRule="auto"/>
        <w:ind w:firstLine="113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B04622">
        <w:rPr>
          <w:rFonts w:ascii="Tahoma" w:hAnsi="Tahoma" w:cs="Tahoma"/>
          <w:color w:val="000000" w:themeColor="text1"/>
          <w:sz w:val="20"/>
          <w:szCs w:val="20"/>
        </w:rPr>
        <w:t xml:space="preserve">Ante as considerações apresentadas, analisando as razões da </w:t>
      </w:r>
      <w:r w:rsidR="00AA62BF">
        <w:rPr>
          <w:rFonts w:ascii="Tahoma" w:hAnsi="Tahoma" w:cs="Tahoma"/>
          <w:color w:val="000000" w:themeColor="text1"/>
          <w:sz w:val="20"/>
          <w:szCs w:val="20"/>
        </w:rPr>
        <w:t>I</w:t>
      </w:r>
      <w:r w:rsidRPr="00B04622">
        <w:rPr>
          <w:rFonts w:ascii="Tahoma" w:hAnsi="Tahoma" w:cs="Tahoma"/>
          <w:color w:val="000000" w:themeColor="text1"/>
          <w:sz w:val="20"/>
          <w:szCs w:val="20"/>
        </w:rPr>
        <w:t>mpugnante, entende-se como</w:t>
      </w:r>
      <w:r w:rsidR="00EE779C" w:rsidRPr="00AA62B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B04622">
        <w:rPr>
          <w:rFonts w:ascii="Tahoma" w:hAnsi="Tahoma" w:cs="Tahoma"/>
          <w:color w:val="000000" w:themeColor="text1"/>
          <w:sz w:val="20"/>
          <w:szCs w:val="20"/>
        </w:rPr>
        <w:t>IMPROCEDENTE e decide pelo NÃO ACOLHIMENTO do pedido de impugnação apresentado pela</w:t>
      </w:r>
      <w:r w:rsidR="00EE779C" w:rsidRPr="00AA62B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AA62BF">
        <w:rPr>
          <w:rFonts w:ascii="Tahoma" w:hAnsi="Tahoma" w:cs="Tahoma"/>
          <w:color w:val="000000" w:themeColor="text1"/>
          <w:sz w:val="20"/>
          <w:szCs w:val="20"/>
        </w:rPr>
        <w:t>empresa VÓLUS INSTITUIÇÃO DE PAGAMENTO LTDA.</w:t>
      </w:r>
    </w:p>
    <w:p w14:paraId="2FC829F0" w14:textId="77777777" w:rsidR="00B01131" w:rsidRDefault="00B01131" w:rsidP="00910445">
      <w:pPr>
        <w:spacing w:after="0" w:line="360" w:lineRule="auto"/>
        <w:ind w:firstLine="1134"/>
        <w:jc w:val="both"/>
        <w:rPr>
          <w:rFonts w:ascii="Tahoma" w:hAnsi="Tahoma" w:cs="Tahoma"/>
          <w:sz w:val="20"/>
          <w:szCs w:val="20"/>
        </w:rPr>
      </w:pPr>
    </w:p>
    <w:p w14:paraId="2CFDBABE" w14:textId="6A1E3D2E" w:rsidR="003B7BCD" w:rsidRDefault="00AD4192" w:rsidP="00910445">
      <w:pPr>
        <w:spacing w:after="0" w:line="360" w:lineRule="auto"/>
        <w:ind w:firstLine="1134"/>
        <w:jc w:val="both"/>
        <w:rPr>
          <w:rFonts w:ascii="Tahoma" w:hAnsi="Tahoma" w:cs="Tahoma"/>
          <w:sz w:val="20"/>
          <w:szCs w:val="20"/>
        </w:rPr>
      </w:pPr>
      <w:r w:rsidRPr="00A35309">
        <w:rPr>
          <w:rFonts w:ascii="Tahoma" w:hAnsi="Tahoma" w:cs="Tahoma"/>
          <w:sz w:val="20"/>
          <w:szCs w:val="20"/>
        </w:rPr>
        <w:t xml:space="preserve">Nova Bassano, </w:t>
      </w:r>
      <w:r w:rsidR="0011373D" w:rsidRPr="00A35309">
        <w:rPr>
          <w:rFonts w:ascii="Tahoma" w:hAnsi="Tahoma" w:cs="Tahoma"/>
          <w:sz w:val="20"/>
          <w:szCs w:val="20"/>
        </w:rPr>
        <w:t xml:space="preserve">RS, </w:t>
      </w:r>
      <w:r w:rsidR="00EE779C">
        <w:rPr>
          <w:rFonts w:ascii="Tahoma" w:hAnsi="Tahoma" w:cs="Tahoma"/>
          <w:sz w:val="20"/>
          <w:szCs w:val="20"/>
        </w:rPr>
        <w:t>0</w:t>
      </w:r>
      <w:r w:rsidR="007F51E0">
        <w:rPr>
          <w:rFonts w:ascii="Tahoma" w:hAnsi="Tahoma" w:cs="Tahoma"/>
          <w:sz w:val="20"/>
          <w:szCs w:val="20"/>
        </w:rPr>
        <w:t>2</w:t>
      </w:r>
      <w:r w:rsidR="00EE779C">
        <w:rPr>
          <w:rFonts w:ascii="Tahoma" w:hAnsi="Tahoma" w:cs="Tahoma"/>
          <w:sz w:val="20"/>
          <w:szCs w:val="20"/>
        </w:rPr>
        <w:t xml:space="preserve"> de abril de 2026.</w:t>
      </w:r>
    </w:p>
    <w:p w14:paraId="38F0FF62" w14:textId="77777777" w:rsidR="007F51E0" w:rsidRPr="00A35309" w:rsidRDefault="007F51E0" w:rsidP="00910445">
      <w:pPr>
        <w:spacing w:after="0" w:line="360" w:lineRule="auto"/>
        <w:ind w:firstLine="1134"/>
        <w:jc w:val="both"/>
        <w:rPr>
          <w:rFonts w:ascii="Tahoma" w:hAnsi="Tahoma" w:cs="Tahoma"/>
          <w:sz w:val="20"/>
          <w:szCs w:val="20"/>
        </w:rPr>
      </w:pPr>
    </w:p>
    <w:p w14:paraId="1CF1DA90" w14:textId="77777777" w:rsidR="00B01131" w:rsidRDefault="00B01131" w:rsidP="00AC2084">
      <w:pPr>
        <w:ind w:firstLine="1134"/>
        <w:jc w:val="both"/>
        <w:rPr>
          <w:rFonts w:ascii="Tahoma" w:hAnsi="Tahoma" w:cs="Tahoma"/>
          <w:sz w:val="20"/>
          <w:szCs w:val="20"/>
        </w:rPr>
      </w:pPr>
    </w:p>
    <w:p w14:paraId="7CC9876C" w14:textId="734A2CB7" w:rsidR="00B01131" w:rsidRPr="00B01131" w:rsidRDefault="00EE779C" w:rsidP="00565BE9">
      <w:pPr>
        <w:spacing w:after="0" w:line="240" w:lineRule="auto"/>
        <w:ind w:firstLine="113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Roberta Parisotto</w:t>
      </w:r>
    </w:p>
    <w:p w14:paraId="5A5D4809" w14:textId="77777777" w:rsidR="00B01131" w:rsidRPr="00B01131" w:rsidRDefault="00B01131" w:rsidP="00565BE9">
      <w:pPr>
        <w:spacing w:after="0" w:line="240" w:lineRule="auto"/>
        <w:ind w:firstLine="1134"/>
        <w:jc w:val="center"/>
        <w:rPr>
          <w:b/>
        </w:rPr>
      </w:pPr>
      <w:r w:rsidRPr="00B01131">
        <w:rPr>
          <w:rFonts w:ascii="Tahoma" w:hAnsi="Tahoma" w:cs="Tahoma"/>
          <w:b/>
          <w:sz w:val="20"/>
          <w:szCs w:val="20"/>
        </w:rPr>
        <w:t>Pregoeira</w:t>
      </w:r>
    </w:p>
    <w:sectPr w:rsidR="00B01131" w:rsidRPr="00B01131" w:rsidSect="00910445">
      <w:headerReference w:type="default" r:id="rId8"/>
      <w:pgSz w:w="11906" w:h="16838"/>
      <w:pgMar w:top="1440" w:right="1080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DDB8" w14:textId="77777777" w:rsidR="008A3DE2" w:rsidRDefault="008A3DE2" w:rsidP="0070132A">
      <w:pPr>
        <w:spacing w:after="0" w:line="240" w:lineRule="auto"/>
      </w:pPr>
      <w:r>
        <w:separator/>
      </w:r>
    </w:p>
  </w:endnote>
  <w:endnote w:type="continuationSeparator" w:id="0">
    <w:p w14:paraId="4E9735F2" w14:textId="77777777" w:rsidR="008A3DE2" w:rsidRDefault="008A3DE2" w:rsidP="00701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A8A84" w14:textId="77777777" w:rsidR="008A3DE2" w:rsidRDefault="008A3DE2" w:rsidP="0070132A">
      <w:pPr>
        <w:spacing w:after="0" w:line="240" w:lineRule="auto"/>
      </w:pPr>
      <w:r>
        <w:separator/>
      </w:r>
    </w:p>
  </w:footnote>
  <w:footnote w:type="continuationSeparator" w:id="0">
    <w:p w14:paraId="7FF59A1B" w14:textId="77777777" w:rsidR="008A3DE2" w:rsidRDefault="008A3DE2" w:rsidP="00701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AB54" w14:textId="77777777" w:rsidR="00EE779C" w:rsidRPr="009A7581" w:rsidRDefault="00EE779C" w:rsidP="00EE779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3DBAFF" wp14:editId="763BB548">
          <wp:simplePos x="0" y="0"/>
          <wp:positionH relativeFrom="column">
            <wp:posOffset>57150</wp:posOffset>
          </wp:positionH>
          <wp:positionV relativeFrom="paragraph">
            <wp:posOffset>8890</wp:posOffset>
          </wp:positionV>
          <wp:extent cx="990600" cy="95186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7581">
      <w:t xml:space="preserve">                                                  </w:t>
    </w:r>
  </w:p>
  <w:p w14:paraId="3BC478CD" w14:textId="77777777" w:rsidR="00EE779C" w:rsidRPr="00B53789" w:rsidRDefault="00EE779C" w:rsidP="00EE779C">
    <w:pPr>
      <w:pStyle w:val="Cabealho"/>
      <w:rPr>
        <w:rFonts w:ascii="Arial Narrow" w:hAnsi="Arial Narrow" w:cs="Tahoma"/>
        <w:b/>
        <w:bCs/>
      </w:rPr>
    </w:pPr>
    <w:r w:rsidRPr="00B53789">
      <w:t xml:space="preserve">                                                    </w:t>
    </w:r>
    <w:r w:rsidRPr="00B53789">
      <w:rPr>
        <w:rFonts w:ascii="Arial Narrow" w:hAnsi="Arial Narrow" w:cs="Tahoma"/>
        <w:b/>
        <w:bCs/>
      </w:rPr>
      <w:t xml:space="preserve">ESTADO DO RIO GRANDE DO SUL   </w:t>
    </w:r>
  </w:p>
  <w:p w14:paraId="7B5B2EA7" w14:textId="060AB783" w:rsidR="00EE779C" w:rsidRPr="00B53789" w:rsidRDefault="00EE779C" w:rsidP="00EE779C">
    <w:pPr>
      <w:pStyle w:val="Cabealho"/>
      <w:rPr>
        <w:rFonts w:ascii="Arial Narrow" w:hAnsi="Arial Narrow" w:cs="Tahoma"/>
        <w:b/>
        <w:sz w:val="20"/>
      </w:rPr>
    </w:pPr>
    <w:r w:rsidRPr="00B53789">
      <w:rPr>
        <w:rFonts w:ascii="Arial Narrow" w:hAnsi="Arial Narrow" w:cs="Tahoma"/>
      </w:rPr>
      <w:t xml:space="preserve">                                              </w:t>
    </w:r>
    <w:r>
      <w:rPr>
        <w:rFonts w:ascii="Arial Narrow" w:hAnsi="Arial Narrow" w:cs="Tahoma"/>
      </w:rPr>
      <w:t xml:space="preserve"> </w:t>
    </w:r>
    <w:r w:rsidRPr="00B53789">
      <w:rPr>
        <w:rFonts w:ascii="Arial Narrow" w:hAnsi="Arial Narrow" w:cs="Tahoma"/>
      </w:rPr>
      <w:t xml:space="preserve">  </w:t>
    </w:r>
    <w:r>
      <w:rPr>
        <w:rFonts w:ascii="Arial Narrow" w:hAnsi="Arial Narrow" w:cs="Tahoma"/>
      </w:rPr>
      <w:t xml:space="preserve"> </w:t>
    </w:r>
    <w:r w:rsidRPr="00B53789">
      <w:rPr>
        <w:rFonts w:ascii="Arial Narrow" w:hAnsi="Arial Narrow" w:cs="Tahoma"/>
      </w:rPr>
      <w:t xml:space="preserve">    </w:t>
    </w:r>
    <w:r w:rsidRPr="00B53789">
      <w:rPr>
        <w:rFonts w:ascii="Arial Narrow" w:hAnsi="Arial Narrow" w:cs="Tahoma"/>
        <w:b/>
      </w:rPr>
      <w:t>MUNICÍPIO DE NOVA BASSANO</w:t>
    </w:r>
  </w:p>
  <w:p w14:paraId="7419C93B" w14:textId="65CD302B" w:rsidR="00EE779C" w:rsidRPr="000F5E2E" w:rsidRDefault="00EE779C" w:rsidP="00EE779C">
    <w:pPr>
      <w:pStyle w:val="Cabealho"/>
      <w:rPr>
        <w:rFonts w:ascii="Arial Narrow" w:hAnsi="Arial Narrow" w:cs="Tahoma"/>
        <w:bCs/>
        <w:sz w:val="21"/>
        <w:szCs w:val="21"/>
      </w:rPr>
    </w:pPr>
    <w:r w:rsidRPr="00B53789">
      <w:rPr>
        <w:rFonts w:ascii="Arial Narrow" w:hAnsi="Arial Narrow" w:cs="Tahoma"/>
        <w:bCs/>
      </w:rPr>
      <w:t xml:space="preserve">                                            </w:t>
    </w:r>
    <w:r>
      <w:rPr>
        <w:rFonts w:ascii="Arial Narrow" w:hAnsi="Arial Narrow" w:cs="Tahoma"/>
        <w:bCs/>
      </w:rPr>
      <w:t xml:space="preserve">        </w:t>
    </w:r>
    <w:r w:rsidRPr="000F5E2E">
      <w:rPr>
        <w:rFonts w:ascii="Arial Narrow" w:hAnsi="Arial Narrow" w:cs="Tahoma"/>
        <w:bCs/>
        <w:sz w:val="21"/>
        <w:szCs w:val="21"/>
      </w:rPr>
      <w:t>Secretaria Municipal da Administração</w:t>
    </w:r>
  </w:p>
  <w:p w14:paraId="1C49D359" w14:textId="423E388E" w:rsidR="00EE779C" w:rsidRDefault="00EE779C" w:rsidP="00EE779C">
    <w:pPr>
      <w:pStyle w:val="Cabealho"/>
      <w:rPr>
        <w:rFonts w:ascii="Arial Narrow" w:hAnsi="Arial Narrow" w:cs="Tahoma"/>
        <w:bCs/>
        <w:sz w:val="21"/>
        <w:szCs w:val="21"/>
      </w:rPr>
    </w:pPr>
    <w:r w:rsidRPr="000F5E2E">
      <w:rPr>
        <w:rFonts w:ascii="Arial Narrow" w:hAnsi="Arial Narrow" w:cs="Tahoma"/>
        <w:bCs/>
        <w:sz w:val="21"/>
        <w:szCs w:val="21"/>
      </w:rPr>
      <w:t xml:space="preserve">                                                             </w:t>
    </w:r>
    <w:r>
      <w:rPr>
        <w:rFonts w:ascii="Arial Narrow" w:hAnsi="Arial Narrow" w:cs="Tahoma"/>
        <w:bCs/>
        <w:sz w:val="21"/>
        <w:szCs w:val="21"/>
      </w:rPr>
      <w:t xml:space="preserve">  </w:t>
    </w:r>
    <w:r w:rsidRPr="000F5E2E">
      <w:rPr>
        <w:rFonts w:ascii="Arial Narrow" w:hAnsi="Arial Narrow" w:cs="Tahoma"/>
        <w:bCs/>
        <w:sz w:val="21"/>
        <w:szCs w:val="21"/>
      </w:rPr>
      <w:t>Departamento de Licitações</w:t>
    </w:r>
  </w:p>
  <w:p w14:paraId="49DDD21D" w14:textId="57CBB265" w:rsidR="00CA5F03" w:rsidRDefault="00CA5F03" w:rsidP="00910445">
    <w:pPr>
      <w:spacing w:after="0" w:line="240" w:lineRule="auto"/>
      <w:rPr>
        <w:rFonts w:ascii="Century Gothic" w:eastAsia="Times New Roman" w:hAnsi="Century Gothic" w:cs="Tahoma"/>
        <w:bCs/>
        <w:sz w:val="18"/>
        <w:szCs w:val="18"/>
        <w:lang w:eastAsia="pt-BR"/>
      </w:rPr>
    </w:pPr>
  </w:p>
  <w:p w14:paraId="4B28DA33" w14:textId="77777777" w:rsidR="00AE7B81" w:rsidRPr="00910445" w:rsidRDefault="00AE7B81" w:rsidP="00910445">
    <w:pPr>
      <w:spacing w:after="0" w:line="240" w:lineRule="auto"/>
      <w:rPr>
        <w:rFonts w:ascii="Century Gothic" w:eastAsia="Times New Roman" w:hAnsi="Century Gothic" w:cs="Tahoma"/>
        <w:bCs/>
        <w:sz w:val="18"/>
        <w:szCs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AFE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5448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275"/>
    <w:rsid w:val="00001D5A"/>
    <w:rsid w:val="0002338D"/>
    <w:rsid w:val="00025969"/>
    <w:rsid w:val="00033C7C"/>
    <w:rsid w:val="000365D9"/>
    <w:rsid w:val="00055FC6"/>
    <w:rsid w:val="000714A8"/>
    <w:rsid w:val="00087DF3"/>
    <w:rsid w:val="000B5651"/>
    <w:rsid w:val="000B5BCD"/>
    <w:rsid w:val="000D4275"/>
    <w:rsid w:val="000F187E"/>
    <w:rsid w:val="000F56C1"/>
    <w:rsid w:val="0011373D"/>
    <w:rsid w:val="001254ED"/>
    <w:rsid w:val="001576C6"/>
    <w:rsid w:val="001905A2"/>
    <w:rsid w:val="001952C5"/>
    <w:rsid w:val="001A091A"/>
    <w:rsid w:val="001E21F4"/>
    <w:rsid w:val="001F3083"/>
    <w:rsid w:val="001F73C8"/>
    <w:rsid w:val="001F76EC"/>
    <w:rsid w:val="00223ADA"/>
    <w:rsid w:val="0025430C"/>
    <w:rsid w:val="00284E1D"/>
    <w:rsid w:val="002861D7"/>
    <w:rsid w:val="002D20DC"/>
    <w:rsid w:val="002F071F"/>
    <w:rsid w:val="002F1D1A"/>
    <w:rsid w:val="0030185D"/>
    <w:rsid w:val="00335CB7"/>
    <w:rsid w:val="003471A8"/>
    <w:rsid w:val="003478C6"/>
    <w:rsid w:val="00373BE2"/>
    <w:rsid w:val="003B7BCD"/>
    <w:rsid w:val="003F0716"/>
    <w:rsid w:val="003F1262"/>
    <w:rsid w:val="00407E3D"/>
    <w:rsid w:val="00417114"/>
    <w:rsid w:val="00422062"/>
    <w:rsid w:val="00436B04"/>
    <w:rsid w:val="004A75E2"/>
    <w:rsid w:val="004B68C3"/>
    <w:rsid w:val="004D73B8"/>
    <w:rsid w:val="004E2570"/>
    <w:rsid w:val="004E4FE9"/>
    <w:rsid w:val="005103F8"/>
    <w:rsid w:val="00565BE9"/>
    <w:rsid w:val="00580CFC"/>
    <w:rsid w:val="00581F90"/>
    <w:rsid w:val="0059442E"/>
    <w:rsid w:val="005B00E6"/>
    <w:rsid w:val="005B6956"/>
    <w:rsid w:val="005D73E9"/>
    <w:rsid w:val="005E7B71"/>
    <w:rsid w:val="006045BF"/>
    <w:rsid w:val="0061185C"/>
    <w:rsid w:val="00612233"/>
    <w:rsid w:val="00641C71"/>
    <w:rsid w:val="006971B0"/>
    <w:rsid w:val="006C55CF"/>
    <w:rsid w:val="006D3902"/>
    <w:rsid w:val="006D5D42"/>
    <w:rsid w:val="0070132A"/>
    <w:rsid w:val="00725FB2"/>
    <w:rsid w:val="00761BB5"/>
    <w:rsid w:val="00764975"/>
    <w:rsid w:val="00772C92"/>
    <w:rsid w:val="00784A0E"/>
    <w:rsid w:val="007B550E"/>
    <w:rsid w:val="007C7EE0"/>
    <w:rsid w:val="007E101D"/>
    <w:rsid w:val="007F51E0"/>
    <w:rsid w:val="007F658E"/>
    <w:rsid w:val="00865310"/>
    <w:rsid w:val="00885929"/>
    <w:rsid w:val="008A3DE2"/>
    <w:rsid w:val="008D1AA9"/>
    <w:rsid w:val="00903252"/>
    <w:rsid w:val="00910445"/>
    <w:rsid w:val="0092531F"/>
    <w:rsid w:val="00942701"/>
    <w:rsid w:val="0095278F"/>
    <w:rsid w:val="009920CC"/>
    <w:rsid w:val="009A4536"/>
    <w:rsid w:val="009B0C81"/>
    <w:rsid w:val="009D2146"/>
    <w:rsid w:val="00A22DDE"/>
    <w:rsid w:val="00A35309"/>
    <w:rsid w:val="00A921F2"/>
    <w:rsid w:val="00AA62BF"/>
    <w:rsid w:val="00AC2084"/>
    <w:rsid w:val="00AD4192"/>
    <w:rsid w:val="00AE7B81"/>
    <w:rsid w:val="00B01131"/>
    <w:rsid w:val="00B04622"/>
    <w:rsid w:val="00B3012B"/>
    <w:rsid w:val="00B3299D"/>
    <w:rsid w:val="00B63842"/>
    <w:rsid w:val="00B861E5"/>
    <w:rsid w:val="00BB70DC"/>
    <w:rsid w:val="00BF55DD"/>
    <w:rsid w:val="00C01B5E"/>
    <w:rsid w:val="00C231CD"/>
    <w:rsid w:val="00C64E9F"/>
    <w:rsid w:val="00C914A8"/>
    <w:rsid w:val="00CA5F03"/>
    <w:rsid w:val="00CD30AE"/>
    <w:rsid w:val="00CE18AA"/>
    <w:rsid w:val="00D34DAB"/>
    <w:rsid w:val="00D433FE"/>
    <w:rsid w:val="00D95CCA"/>
    <w:rsid w:val="00D9623C"/>
    <w:rsid w:val="00DA19DA"/>
    <w:rsid w:val="00DB0A25"/>
    <w:rsid w:val="00DD628A"/>
    <w:rsid w:val="00DF154C"/>
    <w:rsid w:val="00DF2191"/>
    <w:rsid w:val="00DF74AF"/>
    <w:rsid w:val="00DF775A"/>
    <w:rsid w:val="00E01A90"/>
    <w:rsid w:val="00E33C2E"/>
    <w:rsid w:val="00E353E5"/>
    <w:rsid w:val="00E43443"/>
    <w:rsid w:val="00E5516F"/>
    <w:rsid w:val="00E577F8"/>
    <w:rsid w:val="00E638FB"/>
    <w:rsid w:val="00E67172"/>
    <w:rsid w:val="00E9081F"/>
    <w:rsid w:val="00E91233"/>
    <w:rsid w:val="00EA1766"/>
    <w:rsid w:val="00EE779C"/>
    <w:rsid w:val="00EF3A46"/>
    <w:rsid w:val="00F05E6F"/>
    <w:rsid w:val="00F14608"/>
    <w:rsid w:val="00F44EE4"/>
    <w:rsid w:val="00F65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3D73FB"/>
  <w15:docId w15:val="{8106B295-8F3E-4F47-831C-D88A0334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A17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7">
    <w:name w:val="heading 7"/>
    <w:basedOn w:val="Normal"/>
    <w:next w:val="Normal"/>
    <w:link w:val="Ttulo7Char"/>
    <w:qFormat/>
    <w:rsid w:val="00A921F2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1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32A"/>
  </w:style>
  <w:style w:type="paragraph" w:styleId="Rodap">
    <w:name w:val="footer"/>
    <w:basedOn w:val="Normal"/>
    <w:link w:val="RodapChar"/>
    <w:uiPriority w:val="99"/>
    <w:unhideWhenUsed/>
    <w:rsid w:val="00701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32A"/>
  </w:style>
  <w:style w:type="paragraph" w:styleId="NormalWeb">
    <w:name w:val="Normal (Web)"/>
    <w:basedOn w:val="Normal"/>
    <w:uiPriority w:val="99"/>
    <w:semiHidden/>
    <w:unhideWhenUsed/>
    <w:rsid w:val="005B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64E9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4E9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4E9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64E9F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EA176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EA1766"/>
    <w:rPr>
      <w:color w:val="0000FF"/>
      <w:u w:val="single"/>
    </w:rPr>
  </w:style>
  <w:style w:type="paragraph" w:customStyle="1" w:styleId="Corpodotexto">
    <w:name w:val="Corpo do texto"/>
    <w:basedOn w:val="Normal"/>
    <w:rsid w:val="00B3012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markedcontent">
    <w:name w:val="markedcontent"/>
    <w:basedOn w:val="Fontepargpadro"/>
    <w:rsid w:val="00E577F8"/>
  </w:style>
  <w:style w:type="character" w:customStyle="1" w:styleId="Ttulo7Char">
    <w:name w:val="Título 7 Char"/>
    <w:basedOn w:val="Fontepargpadro"/>
    <w:link w:val="Ttulo7"/>
    <w:rsid w:val="00A921F2"/>
    <w:rPr>
      <w:rFonts w:ascii="Tahoma" w:eastAsia="Times New Roman" w:hAnsi="Tahoma" w:cs="Times New Roman"/>
      <w:sz w:val="24"/>
      <w:szCs w:val="24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1F3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400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8568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9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8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6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6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523E5-9344-4C24-85C2-4773974B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2246</Words>
  <Characters>12129</Characters>
  <Application>Microsoft Office Word</Application>
  <DocSecurity>4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Todeschini</dc:creator>
  <cp:lastModifiedBy>Roberta</cp:lastModifiedBy>
  <cp:revision>2</cp:revision>
  <cp:lastPrinted>2024-07-10T14:07:00Z</cp:lastPrinted>
  <dcterms:created xsi:type="dcterms:W3CDTF">2026-04-02T17:52:00Z</dcterms:created>
  <dcterms:modified xsi:type="dcterms:W3CDTF">2026-04-02T17:52:00Z</dcterms:modified>
</cp:coreProperties>
</file>